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pPr>
      <w:r>
        <w:rPr/>
        <w:drawing>
          <wp:anchor distT="0" distB="0" distL="0" distR="0" allowOverlap="1" layoutInCell="1" locked="0" behindDoc="0" simplePos="0" relativeHeight="15728640">
            <wp:simplePos x="0" y="0"/>
            <wp:positionH relativeFrom="page">
              <wp:posOffset>600075</wp:posOffset>
            </wp:positionH>
            <wp:positionV relativeFrom="paragraph">
              <wp:posOffset>2171</wp:posOffset>
            </wp:positionV>
            <wp:extent cx="1386523" cy="1264644"/>
            <wp:effectExtent l="0" t="0" r="0" b="0"/>
            <wp:wrapNone/>
            <wp:docPr id="4" name="Image 4" descr="COUNTY LOGO"/>
            <wp:cNvGraphicFramePr>
              <a:graphicFrameLocks/>
            </wp:cNvGraphicFramePr>
            <a:graphic>
              <a:graphicData uri="http://schemas.openxmlformats.org/drawingml/2006/picture">
                <pic:pic>
                  <pic:nvPicPr>
                    <pic:cNvPr id="4" name="Image 4" descr="COUNTY LOGO"/>
                    <pic:cNvPicPr/>
                  </pic:nvPicPr>
                  <pic:blipFill>
                    <a:blip r:embed="rId6" cstate="print"/>
                    <a:stretch>
                      <a:fillRect/>
                    </a:stretch>
                  </pic:blipFill>
                  <pic:spPr>
                    <a:xfrm>
                      <a:off x="0" y="0"/>
                      <a:ext cx="1386523" cy="1264644"/>
                    </a:xfrm>
                    <a:prstGeom prst="rect">
                      <a:avLst/>
                    </a:prstGeom>
                  </pic:spPr>
                </pic:pic>
              </a:graphicData>
            </a:graphic>
          </wp:anchor>
        </w:drawing>
      </w:r>
      <w:r>
        <w:rPr/>
        <w:t>Skagit</w:t>
      </w:r>
      <w:r>
        <w:rPr>
          <w:spacing w:val="-13"/>
        </w:rPr>
        <w:t> </w:t>
      </w:r>
      <w:r>
        <w:rPr/>
        <w:t>County</w:t>
      </w:r>
      <w:r>
        <w:rPr>
          <w:spacing w:val="-11"/>
        </w:rPr>
        <w:t> </w:t>
      </w:r>
      <w:r>
        <w:rPr/>
        <w:t>Public</w:t>
      </w:r>
      <w:r>
        <w:rPr>
          <w:spacing w:val="-11"/>
        </w:rPr>
        <w:t> </w:t>
      </w:r>
      <w:r>
        <w:rPr>
          <w:spacing w:val="-2"/>
        </w:rPr>
        <w:t>Health</w:t>
      </w:r>
    </w:p>
    <w:p>
      <w:pPr>
        <w:pStyle w:val="Heading2"/>
        <w:spacing w:line="259" w:lineRule="auto"/>
      </w:pPr>
      <w:r>
        <w:rPr/>
        <w:t>Keith</w:t>
      </w:r>
      <w:r>
        <w:rPr>
          <w:spacing w:val="-15"/>
        </w:rPr>
        <w:t> </w:t>
      </w:r>
      <w:r>
        <w:rPr/>
        <w:t>Higman,</w:t>
      </w:r>
      <w:r>
        <w:rPr>
          <w:spacing w:val="-18"/>
        </w:rPr>
        <w:t> </w:t>
      </w:r>
      <w:r>
        <w:rPr/>
        <w:t>Director Howard</w:t>
      </w:r>
      <w:r>
        <w:rPr>
          <w:spacing w:val="-5"/>
        </w:rPr>
        <w:t> </w:t>
      </w:r>
      <w:r>
        <w:rPr/>
        <w:t>Leibrand,</w:t>
      </w:r>
      <w:r>
        <w:rPr>
          <w:spacing w:val="-6"/>
        </w:rPr>
        <w:t> </w:t>
      </w:r>
      <w:r>
        <w:rPr/>
        <w:t>M.D.,</w:t>
      </w:r>
      <w:r>
        <w:rPr>
          <w:spacing w:val="-6"/>
        </w:rPr>
        <w:t> </w:t>
      </w:r>
      <w:r>
        <w:rPr/>
        <w:t>Health</w:t>
      </w:r>
      <w:r>
        <w:rPr>
          <w:spacing w:val="-6"/>
        </w:rPr>
        <w:t> </w:t>
      </w:r>
      <w:r>
        <w:rPr>
          <w:spacing w:val="-2"/>
        </w:rPr>
        <w:t>Officer</w:t>
      </w:r>
    </w:p>
    <w:p>
      <w:pPr>
        <w:pStyle w:val="BodyText"/>
        <w:spacing w:before="272"/>
        <w:rPr>
          <w:rFonts w:ascii="Baskerville Old Face"/>
          <w:b/>
          <w:sz w:val="28"/>
        </w:rPr>
      </w:pPr>
    </w:p>
    <w:p>
      <w:pPr>
        <w:pStyle w:val="Heading3"/>
      </w:pPr>
      <w:r>
        <w:rPr/>
        <w:t>Staff</w:t>
      </w:r>
      <w:r>
        <w:rPr>
          <w:spacing w:val="-2"/>
        </w:rPr>
        <w:t> Report</w:t>
      </w:r>
    </w:p>
    <w:p>
      <w:pPr>
        <w:pStyle w:val="BodyText"/>
        <w:spacing w:before="43"/>
        <w:rPr>
          <w:b/>
        </w:rPr>
      </w:pPr>
    </w:p>
    <w:p>
      <w:pPr>
        <w:pStyle w:val="BodyText"/>
        <w:tabs>
          <w:tab w:pos="1440" w:val="left" w:leader="none"/>
        </w:tabs>
      </w:pPr>
      <w:r>
        <w:rPr>
          <w:b/>
          <w:spacing w:val="-5"/>
        </w:rPr>
        <w:t>To:</w:t>
      </w:r>
      <w:r>
        <w:rPr>
          <w:b/>
        </w:rPr>
        <w:tab/>
      </w:r>
      <w:r>
        <w:rPr/>
        <w:t>Dr.</w:t>
      </w:r>
      <w:r>
        <w:rPr>
          <w:spacing w:val="-5"/>
        </w:rPr>
        <w:t> </w:t>
      </w:r>
      <w:r>
        <w:rPr/>
        <w:t>Howard</w:t>
      </w:r>
      <w:r>
        <w:rPr>
          <w:spacing w:val="-3"/>
        </w:rPr>
        <w:t> </w:t>
      </w:r>
      <w:r>
        <w:rPr/>
        <w:t>Leibrand,</w:t>
      </w:r>
      <w:r>
        <w:rPr>
          <w:spacing w:val="-6"/>
        </w:rPr>
        <w:t> </w:t>
      </w:r>
      <w:r>
        <w:rPr/>
        <w:t>Skagit</w:t>
      </w:r>
      <w:r>
        <w:rPr>
          <w:spacing w:val="-3"/>
        </w:rPr>
        <w:t> </w:t>
      </w:r>
      <w:r>
        <w:rPr/>
        <w:t>County</w:t>
      </w:r>
      <w:r>
        <w:rPr>
          <w:spacing w:val="-5"/>
        </w:rPr>
        <w:t> </w:t>
      </w:r>
      <w:r>
        <w:rPr/>
        <w:t>Health</w:t>
      </w:r>
      <w:r>
        <w:rPr>
          <w:spacing w:val="-4"/>
        </w:rPr>
        <w:t> </w:t>
      </w:r>
      <w:r>
        <w:rPr>
          <w:spacing w:val="-2"/>
        </w:rPr>
        <w:t>Officer</w:t>
      </w:r>
    </w:p>
    <w:p>
      <w:pPr>
        <w:pStyle w:val="BodyText"/>
        <w:spacing w:before="43"/>
      </w:pPr>
    </w:p>
    <w:p>
      <w:pPr>
        <w:pStyle w:val="BodyText"/>
        <w:tabs>
          <w:tab w:pos="1440" w:val="left" w:leader="none"/>
        </w:tabs>
        <w:spacing w:line="259" w:lineRule="auto"/>
        <w:ind w:left="1440" w:right="3860" w:hanging="1441"/>
      </w:pPr>
      <w:r>
        <w:rPr>
          <w:b/>
          <w:spacing w:val="-2"/>
        </w:rPr>
        <w:t>From:</w:t>
      </w:r>
      <w:r>
        <w:rPr>
          <w:b/>
        </w:rPr>
        <w:tab/>
      </w:r>
      <w:r>
        <w:rPr/>
        <w:t>Britt Pfaff Dunton, Environmental Health Manager Charese</w:t>
      </w:r>
      <w:r>
        <w:rPr>
          <w:spacing w:val="-5"/>
        </w:rPr>
        <w:t> </w:t>
      </w:r>
      <w:r>
        <w:rPr/>
        <w:t>Gainor,</w:t>
      </w:r>
      <w:r>
        <w:rPr>
          <w:spacing w:val="-5"/>
        </w:rPr>
        <w:t> </w:t>
      </w:r>
      <w:r>
        <w:rPr/>
        <w:t>Drinking</w:t>
      </w:r>
      <w:r>
        <w:rPr>
          <w:spacing w:val="-7"/>
        </w:rPr>
        <w:t> </w:t>
      </w:r>
      <w:r>
        <w:rPr/>
        <w:t>Water</w:t>
      </w:r>
      <w:r>
        <w:rPr>
          <w:spacing w:val="-5"/>
        </w:rPr>
        <w:t> </w:t>
      </w:r>
      <w:r>
        <w:rPr/>
        <w:t>&amp;</w:t>
      </w:r>
      <w:r>
        <w:rPr>
          <w:spacing w:val="-5"/>
        </w:rPr>
        <w:t> </w:t>
      </w:r>
      <w:r>
        <w:rPr/>
        <w:t>On-Site</w:t>
      </w:r>
      <w:r>
        <w:rPr>
          <w:spacing w:val="-5"/>
        </w:rPr>
        <w:t> </w:t>
      </w:r>
      <w:r>
        <w:rPr/>
        <w:t>Septic</w:t>
      </w:r>
      <w:r>
        <w:rPr>
          <w:spacing w:val="-5"/>
        </w:rPr>
        <w:t> </w:t>
      </w:r>
      <w:r>
        <w:rPr/>
        <w:t>Lead</w:t>
      </w:r>
    </w:p>
    <w:p>
      <w:pPr>
        <w:pStyle w:val="BodyText"/>
        <w:spacing w:before="21"/>
      </w:pPr>
    </w:p>
    <w:p>
      <w:pPr>
        <w:pStyle w:val="BodyText"/>
        <w:tabs>
          <w:tab w:pos="1440" w:val="left" w:leader="none"/>
        </w:tabs>
      </w:pPr>
      <w:r>
        <w:rPr>
          <w:b/>
          <w:spacing w:val="-2"/>
        </w:rPr>
        <w:t>Subject:</w:t>
      </w:r>
      <w:r>
        <w:rPr>
          <w:b/>
        </w:rPr>
        <w:tab/>
      </w:r>
      <w:r>
        <w:rPr/>
        <w:t>Staff</w:t>
      </w:r>
      <w:r>
        <w:rPr>
          <w:spacing w:val="-5"/>
        </w:rPr>
        <w:t> </w:t>
      </w:r>
      <w:r>
        <w:rPr/>
        <w:t>Report</w:t>
      </w:r>
      <w:r>
        <w:rPr>
          <w:spacing w:val="-3"/>
        </w:rPr>
        <w:t> </w:t>
      </w:r>
      <w:r>
        <w:rPr/>
        <w:t>–</w:t>
      </w:r>
      <w:r>
        <w:rPr>
          <w:spacing w:val="-1"/>
        </w:rPr>
        <w:t> </w:t>
      </w:r>
      <w:r>
        <w:rPr/>
        <w:t>Request</w:t>
      </w:r>
      <w:r>
        <w:rPr>
          <w:spacing w:val="-4"/>
        </w:rPr>
        <w:t> </w:t>
      </w:r>
      <w:r>
        <w:rPr/>
        <w:t>for</w:t>
      </w:r>
      <w:r>
        <w:rPr>
          <w:spacing w:val="-2"/>
        </w:rPr>
        <w:t> </w:t>
      </w:r>
      <w:r>
        <w:rPr/>
        <w:t>appeal</w:t>
      </w:r>
      <w:r>
        <w:rPr>
          <w:spacing w:val="-3"/>
        </w:rPr>
        <w:t> </w:t>
      </w:r>
      <w:r>
        <w:rPr/>
        <w:t>before</w:t>
      </w:r>
      <w:r>
        <w:rPr>
          <w:spacing w:val="-2"/>
        </w:rPr>
        <w:t> </w:t>
      </w:r>
      <w:r>
        <w:rPr/>
        <w:t>Health</w:t>
      </w:r>
      <w:r>
        <w:rPr>
          <w:spacing w:val="-1"/>
        </w:rPr>
        <w:t> </w:t>
      </w:r>
      <w:r>
        <w:rPr/>
        <w:t>Office.</w:t>
      </w:r>
      <w:r>
        <w:rPr>
          <w:spacing w:val="-3"/>
        </w:rPr>
        <w:t> </w:t>
      </w:r>
      <w:r>
        <w:rPr/>
        <w:t>Notice</w:t>
      </w:r>
      <w:r>
        <w:rPr>
          <w:spacing w:val="-2"/>
        </w:rPr>
        <w:t> </w:t>
      </w:r>
      <w:r>
        <w:rPr/>
        <w:t>of</w:t>
      </w:r>
      <w:r>
        <w:rPr>
          <w:spacing w:val="2"/>
        </w:rPr>
        <w:t> </w:t>
      </w:r>
      <w:r>
        <w:rPr>
          <w:spacing w:val="-2"/>
        </w:rPr>
        <w:t>Fines</w:t>
      </w:r>
    </w:p>
    <w:p>
      <w:pPr>
        <w:pStyle w:val="BodyText"/>
        <w:spacing w:before="44"/>
      </w:pPr>
    </w:p>
    <w:p>
      <w:pPr>
        <w:tabs>
          <w:tab w:pos="1440" w:val="left" w:leader="none"/>
        </w:tabs>
        <w:spacing w:line="518" w:lineRule="auto" w:before="0"/>
        <w:ind w:left="0" w:right="6075" w:firstLine="0"/>
        <w:jc w:val="left"/>
        <w:rPr>
          <w:sz w:val="24"/>
        </w:rPr>
      </w:pPr>
      <w:r>
        <w:rPr>
          <w:b/>
          <w:spacing w:val="-2"/>
          <w:sz w:val="24"/>
        </w:rPr>
        <w:t>Appellant:</w:t>
      </w:r>
      <w:r>
        <w:rPr>
          <w:b/>
          <w:sz w:val="24"/>
        </w:rPr>
        <w:tab/>
      </w:r>
      <w:r>
        <w:rPr>
          <w:sz w:val="24"/>
        </w:rPr>
        <w:t>Tulip</w:t>
      </w:r>
      <w:r>
        <w:rPr>
          <w:spacing w:val="-7"/>
          <w:sz w:val="24"/>
        </w:rPr>
        <w:t> </w:t>
      </w:r>
      <w:r>
        <w:rPr>
          <w:sz w:val="24"/>
        </w:rPr>
        <w:t>Time</w:t>
      </w:r>
      <w:r>
        <w:rPr>
          <w:spacing w:val="-9"/>
          <w:sz w:val="24"/>
        </w:rPr>
        <w:t> </w:t>
      </w:r>
      <w:r>
        <w:rPr>
          <w:sz w:val="24"/>
        </w:rPr>
        <w:t>LLC.</w:t>
      </w:r>
      <w:r>
        <w:rPr>
          <w:spacing w:val="-9"/>
          <w:sz w:val="24"/>
        </w:rPr>
        <w:t> </w:t>
      </w:r>
      <w:r>
        <w:rPr>
          <w:sz w:val="24"/>
        </w:rPr>
        <w:t>Attn</w:t>
      </w:r>
      <w:r>
        <w:rPr>
          <w:spacing w:val="-7"/>
          <w:sz w:val="24"/>
        </w:rPr>
        <w:t> </w:t>
      </w:r>
      <w:r>
        <w:rPr>
          <w:sz w:val="24"/>
        </w:rPr>
        <w:t>Larry</w:t>
      </w:r>
      <w:r>
        <w:rPr>
          <w:spacing w:val="-7"/>
          <w:sz w:val="24"/>
        </w:rPr>
        <w:t> </w:t>
      </w:r>
      <w:r>
        <w:rPr>
          <w:sz w:val="24"/>
        </w:rPr>
        <w:t>Jensen </w:t>
      </w:r>
      <w:r>
        <w:rPr>
          <w:b/>
          <w:sz w:val="24"/>
        </w:rPr>
        <w:t>Property Address: </w:t>
      </w:r>
      <w:r>
        <w:rPr>
          <w:sz w:val="24"/>
        </w:rPr>
        <w:t>12637 Pulver Rd (P23643) </w:t>
      </w:r>
      <w:r>
        <w:rPr>
          <w:b/>
          <w:spacing w:val="-2"/>
          <w:sz w:val="24"/>
        </w:rPr>
        <w:t>Date:</w:t>
      </w:r>
      <w:r>
        <w:rPr>
          <w:b/>
          <w:sz w:val="24"/>
        </w:rPr>
        <w:tab/>
      </w:r>
      <w:r>
        <w:rPr>
          <w:sz w:val="24"/>
        </w:rPr>
        <w:t>August 26, 2025</w:t>
      </w:r>
    </w:p>
    <w:p>
      <w:pPr>
        <w:pStyle w:val="BodyText"/>
        <w:spacing w:line="259" w:lineRule="auto"/>
        <w:ind w:right="413"/>
      </w:pPr>
      <w:r>
        <w:rPr/>
        <w:t>Larry Jensen, on the behalf of Tulip Time LLC, has filed an appeal of the fines assed by Skagit County</w:t>
      </w:r>
      <w:r>
        <w:rPr>
          <w:spacing w:val="-4"/>
        </w:rPr>
        <w:t> </w:t>
      </w:r>
      <w:r>
        <w:rPr/>
        <w:t>Public</w:t>
      </w:r>
      <w:r>
        <w:rPr>
          <w:spacing w:val="-2"/>
        </w:rPr>
        <w:t> </w:t>
      </w:r>
      <w:r>
        <w:rPr/>
        <w:t>Health</w:t>
      </w:r>
      <w:r>
        <w:rPr>
          <w:spacing w:val="-2"/>
        </w:rPr>
        <w:t> </w:t>
      </w:r>
      <w:r>
        <w:rPr/>
        <w:t>(SCPH)</w:t>
      </w:r>
      <w:r>
        <w:rPr>
          <w:spacing w:val="-3"/>
        </w:rPr>
        <w:t> </w:t>
      </w:r>
      <w:r>
        <w:rPr/>
        <w:t>on</w:t>
      </w:r>
      <w:r>
        <w:rPr>
          <w:spacing w:val="-2"/>
        </w:rPr>
        <w:t> </w:t>
      </w:r>
      <w:r>
        <w:rPr/>
        <w:t>May</w:t>
      </w:r>
      <w:r>
        <w:rPr>
          <w:spacing w:val="-4"/>
        </w:rPr>
        <w:t> </w:t>
      </w:r>
      <w:r>
        <w:rPr/>
        <w:t>2,</w:t>
      </w:r>
      <w:r>
        <w:rPr>
          <w:spacing w:val="-4"/>
        </w:rPr>
        <w:t> </w:t>
      </w:r>
      <w:r>
        <w:rPr/>
        <w:t>2025, to</w:t>
      </w:r>
      <w:r>
        <w:rPr>
          <w:spacing w:val="-3"/>
        </w:rPr>
        <w:t> </w:t>
      </w:r>
      <w:r>
        <w:rPr/>
        <w:t>the</w:t>
      </w:r>
      <w:r>
        <w:rPr>
          <w:spacing w:val="-2"/>
        </w:rPr>
        <w:t> </w:t>
      </w:r>
      <w:r>
        <w:rPr/>
        <w:t>Skagit</w:t>
      </w:r>
      <w:r>
        <w:rPr>
          <w:spacing w:val="-2"/>
        </w:rPr>
        <w:t> </w:t>
      </w:r>
      <w:r>
        <w:rPr/>
        <w:t>County</w:t>
      </w:r>
      <w:r>
        <w:rPr>
          <w:spacing w:val="-4"/>
        </w:rPr>
        <w:t> </w:t>
      </w:r>
      <w:r>
        <w:rPr/>
        <w:t>Health</w:t>
      </w:r>
      <w:r>
        <w:rPr>
          <w:spacing w:val="-4"/>
        </w:rPr>
        <w:t> </w:t>
      </w:r>
      <w:r>
        <w:rPr/>
        <w:t>Officer</w:t>
      </w:r>
      <w:r>
        <w:rPr>
          <w:spacing w:val="-2"/>
        </w:rPr>
        <w:t> </w:t>
      </w:r>
      <w:r>
        <w:rPr/>
        <w:t>on May</w:t>
      </w:r>
      <w:r>
        <w:rPr>
          <w:spacing w:val="-4"/>
        </w:rPr>
        <w:t> </w:t>
      </w:r>
      <w:r>
        <w:rPr/>
        <w:t>27,</w:t>
      </w:r>
      <w:r>
        <w:rPr>
          <w:spacing w:val="-4"/>
        </w:rPr>
        <w:t> </w:t>
      </w:r>
      <w:r>
        <w:rPr/>
        <w:t>2025. The fines were assessed following an initial Notification of Failure dated September 10, 2024, and Notice of Violation dated February 26, 2025.</w:t>
      </w:r>
    </w:p>
    <w:p>
      <w:pPr>
        <w:pStyle w:val="BodyText"/>
        <w:spacing w:before="22"/>
      </w:pPr>
    </w:p>
    <w:p>
      <w:pPr>
        <w:pStyle w:val="BodyText"/>
        <w:spacing w:line="259" w:lineRule="auto"/>
        <w:ind w:right="413"/>
      </w:pPr>
      <w:r>
        <w:rPr/>
        <w:t>The existing system(s) on the parcel are undocumented to serve two mobile homes. Based on the pumping reports submitted from Johnny’s Septic Service, the presumed 1000-gallon single compartment</w:t>
      </w:r>
      <w:r>
        <w:rPr>
          <w:spacing w:val="-4"/>
        </w:rPr>
        <w:t> </w:t>
      </w:r>
      <w:r>
        <w:rPr/>
        <w:t>septic</w:t>
      </w:r>
      <w:r>
        <w:rPr>
          <w:spacing w:val="-2"/>
        </w:rPr>
        <w:t> </w:t>
      </w:r>
      <w:r>
        <w:rPr/>
        <w:t>tank actually</w:t>
      </w:r>
      <w:r>
        <w:rPr>
          <w:spacing w:val="-2"/>
        </w:rPr>
        <w:t> </w:t>
      </w:r>
      <w:r>
        <w:rPr/>
        <w:t>appears</w:t>
      </w:r>
      <w:r>
        <w:rPr>
          <w:spacing w:val="-1"/>
        </w:rPr>
        <w:t> </w:t>
      </w:r>
      <w:r>
        <w:rPr/>
        <w:t>to</w:t>
      </w:r>
      <w:r>
        <w:rPr>
          <w:spacing w:val="-3"/>
        </w:rPr>
        <w:t> </w:t>
      </w:r>
      <w:r>
        <w:rPr/>
        <w:t>be</w:t>
      </w:r>
      <w:r>
        <w:rPr>
          <w:spacing w:val="-2"/>
        </w:rPr>
        <w:t> </w:t>
      </w:r>
      <w:r>
        <w:rPr/>
        <w:t>acting</w:t>
      </w:r>
      <w:r>
        <w:rPr>
          <w:spacing w:val="-4"/>
        </w:rPr>
        <w:t> </w:t>
      </w:r>
      <w:r>
        <w:rPr/>
        <w:t>as</w:t>
      </w:r>
      <w:r>
        <w:rPr>
          <w:spacing w:val="-2"/>
        </w:rPr>
        <w:t> </w:t>
      </w:r>
      <w:r>
        <w:rPr/>
        <w:t>cesspool</w:t>
      </w:r>
      <w:r>
        <w:rPr>
          <w:spacing w:val="-5"/>
        </w:rPr>
        <w:t> </w:t>
      </w:r>
      <w:r>
        <w:rPr/>
        <w:t>pit</w:t>
      </w:r>
      <w:r>
        <w:rPr>
          <w:spacing w:val="-2"/>
        </w:rPr>
        <w:t> </w:t>
      </w:r>
      <w:r>
        <w:rPr/>
        <w:t>with</w:t>
      </w:r>
      <w:r>
        <w:rPr>
          <w:spacing w:val="-4"/>
        </w:rPr>
        <w:t> </w:t>
      </w:r>
      <w:r>
        <w:rPr/>
        <w:t>multiple</w:t>
      </w:r>
      <w:r>
        <w:rPr>
          <w:spacing w:val="-4"/>
        </w:rPr>
        <w:t> </w:t>
      </w:r>
      <w:r>
        <w:rPr/>
        <w:t>inputs.</w:t>
      </w:r>
      <w:r>
        <w:rPr>
          <w:spacing w:val="40"/>
        </w:rPr>
        <w:t> </w:t>
      </w:r>
      <w:r>
        <w:rPr/>
        <w:t>The</w:t>
      </w:r>
      <w:r>
        <w:rPr>
          <w:spacing w:val="-4"/>
        </w:rPr>
        <w:t> </w:t>
      </w:r>
      <w:r>
        <w:rPr/>
        <w:t>tank area</w:t>
      </w:r>
      <w:r>
        <w:rPr>
          <w:spacing w:val="-2"/>
        </w:rPr>
        <w:t> </w:t>
      </w:r>
      <w:r>
        <w:rPr/>
        <w:t>was</w:t>
      </w:r>
      <w:r>
        <w:rPr>
          <w:spacing w:val="-2"/>
        </w:rPr>
        <w:t> </w:t>
      </w:r>
      <w:r>
        <w:rPr/>
        <w:t>reported</w:t>
      </w:r>
      <w:r>
        <w:rPr>
          <w:spacing w:val="-2"/>
        </w:rPr>
        <w:t> </w:t>
      </w:r>
      <w:r>
        <w:rPr/>
        <w:t>to</w:t>
      </w:r>
      <w:r>
        <w:rPr>
          <w:spacing w:val="-2"/>
        </w:rPr>
        <w:t> </w:t>
      </w:r>
      <w:r>
        <w:rPr/>
        <w:t>be</w:t>
      </w:r>
      <w:r>
        <w:rPr>
          <w:spacing w:val="-2"/>
        </w:rPr>
        <w:t> </w:t>
      </w:r>
      <w:r>
        <w:rPr/>
        <w:t>flooded.</w:t>
      </w:r>
      <w:r>
        <w:rPr>
          <w:spacing w:val="-2"/>
        </w:rPr>
        <w:t> </w:t>
      </w:r>
      <w:r>
        <w:rPr/>
        <w:t>This</w:t>
      </w:r>
      <w:r>
        <w:rPr>
          <w:spacing w:val="-2"/>
        </w:rPr>
        <w:t> </w:t>
      </w:r>
      <w:r>
        <w:rPr/>
        <w:t>information indicates</w:t>
      </w:r>
      <w:r>
        <w:rPr>
          <w:spacing w:val="-4"/>
        </w:rPr>
        <w:t> </w:t>
      </w:r>
      <w:r>
        <w:rPr/>
        <w:t>a</w:t>
      </w:r>
      <w:r>
        <w:rPr>
          <w:spacing w:val="-2"/>
        </w:rPr>
        <w:t> </w:t>
      </w:r>
      <w:r>
        <w:rPr/>
        <w:t>failure</w:t>
      </w:r>
      <w:r>
        <w:rPr>
          <w:spacing w:val="-4"/>
        </w:rPr>
        <w:t> </w:t>
      </w:r>
      <w:r>
        <w:rPr/>
        <w:t>of</w:t>
      </w:r>
      <w:r>
        <w:rPr>
          <w:spacing w:val="-2"/>
        </w:rPr>
        <w:t> </w:t>
      </w:r>
      <w:r>
        <w:rPr/>
        <w:t>the</w:t>
      </w:r>
      <w:r>
        <w:rPr>
          <w:spacing w:val="-2"/>
        </w:rPr>
        <w:t> </w:t>
      </w:r>
      <w:r>
        <w:rPr/>
        <w:t>existing</w:t>
      </w:r>
      <w:r>
        <w:rPr>
          <w:spacing w:val="-2"/>
        </w:rPr>
        <w:t> </w:t>
      </w:r>
      <w:r>
        <w:rPr/>
        <w:t>system.</w:t>
      </w:r>
      <w:r>
        <w:rPr>
          <w:spacing w:val="40"/>
        </w:rPr>
        <w:t> </w:t>
      </w:r>
      <w:r>
        <w:rPr/>
        <w:t>There is no inspection or pumping records for this site before June of 2022.</w:t>
      </w:r>
    </w:p>
    <w:p>
      <w:pPr>
        <w:pStyle w:val="BodyText"/>
        <w:spacing w:before="19"/>
      </w:pPr>
    </w:p>
    <w:p>
      <w:pPr>
        <w:pStyle w:val="BodyText"/>
      </w:pPr>
      <w:r>
        <w:rPr>
          <w:spacing w:val="-2"/>
          <w:u w:val="single"/>
        </w:rPr>
        <w:t>Background:</w:t>
      </w:r>
    </w:p>
    <w:p>
      <w:pPr>
        <w:pStyle w:val="BodyText"/>
        <w:spacing w:line="259" w:lineRule="auto" w:before="22"/>
        <w:ind w:right="413"/>
      </w:pPr>
      <w:r>
        <w:rPr/>
        <w:t>Tulip</w:t>
      </w:r>
      <w:r>
        <w:rPr>
          <w:spacing w:val="-3"/>
        </w:rPr>
        <w:t> </w:t>
      </w:r>
      <w:r>
        <w:rPr/>
        <w:t>time</w:t>
      </w:r>
      <w:r>
        <w:rPr>
          <w:spacing w:val="-3"/>
        </w:rPr>
        <w:t> </w:t>
      </w:r>
      <w:r>
        <w:rPr/>
        <w:t>LLC</w:t>
      </w:r>
      <w:r>
        <w:rPr>
          <w:spacing w:val="-6"/>
        </w:rPr>
        <w:t> </w:t>
      </w:r>
      <w:r>
        <w:rPr/>
        <w:t>purchased</w:t>
      </w:r>
      <w:r>
        <w:rPr>
          <w:spacing w:val="-3"/>
        </w:rPr>
        <w:t> </w:t>
      </w:r>
      <w:r>
        <w:rPr/>
        <w:t>the</w:t>
      </w:r>
      <w:r>
        <w:rPr>
          <w:spacing w:val="-5"/>
        </w:rPr>
        <w:t> </w:t>
      </w:r>
      <w:r>
        <w:rPr/>
        <w:t>property</w:t>
      </w:r>
      <w:r>
        <w:rPr>
          <w:spacing w:val="-6"/>
        </w:rPr>
        <w:t> </w:t>
      </w:r>
      <w:r>
        <w:rPr/>
        <w:t>in</w:t>
      </w:r>
      <w:r>
        <w:rPr>
          <w:spacing w:val="-3"/>
        </w:rPr>
        <w:t> </w:t>
      </w:r>
      <w:r>
        <w:rPr/>
        <w:t>June</w:t>
      </w:r>
      <w:r>
        <w:rPr>
          <w:spacing w:val="-3"/>
        </w:rPr>
        <w:t> </w:t>
      </w:r>
      <w:r>
        <w:rPr/>
        <w:t>2022. A</w:t>
      </w:r>
      <w:r>
        <w:rPr>
          <w:spacing w:val="-3"/>
        </w:rPr>
        <w:t> </w:t>
      </w:r>
      <w:r>
        <w:rPr/>
        <w:t>property</w:t>
      </w:r>
      <w:r>
        <w:rPr>
          <w:spacing w:val="-6"/>
        </w:rPr>
        <w:t> </w:t>
      </w:r>
      <w:r>
        <w:rPr/>
        <w:t>transfer</w:t>
      </w:r>
      <w:r>
        <w:rPr>
          <w:spacing w:val="-3"/>
        </w:rPr>
        <w:t> </w:t>
      </w:r>
      <w:r>
        <w:rPr/>
        <w:t>septic</w:t>
      </w:r>
      <w:r>
        <w:rPr>
          <w:spacing w:val="-3"/>
        </w:rPr>
        <w:t> </w:t>
      </w:r>
      <w:r>
        <w:rPr/>
        <w:t>inspection</w:t>
      </w:r>
      <w:r>
        <w:rPr>
          <w:spacing w:val="-5"/>
        </w:rPr>
        <w:t> </w:t>
      </w:r>
      <w:r>
        <w:rPr/>
        <w:t>was completed on June 6, 2022.</w:t>
      </w:r>
      <w:r>
        <w:rPr>
          <w:spacing w:val="40"/>
        </w:rPr>
        <w:t> </w:t>
      </w:r>
      <w:r>
        <w:rPr/>
        <w:t>At that time no deficiencies or potential failure was noted.</w:t>
      </w:r>
    </w:p>
    <w:p>
      <w:pPr>
        <w:pStyle w:val="BodyText"/>
        <w:spacing w:before="21"/>
      </w:pPr>
    </w:p>
    <w:p>
      <w:pPr>
        <w:pStyle w:val="BodyText"/>
        <w:spacing w:line="261" w:lineRule="auto"/>
      </w:pPr>
      <w:r>
        <w:rPr/>
        <w:t>The</w:t>
      </w:r>
      <w:r>
        <w:rPr>
          <w:spacing w:val="-3"/>
        </w:rPr>
        <w:t> </w:t>
      </w:r>
      <w:r>
        <w:rPr/>
        <w:t>next</w:t>
      </w:r>
      <w:r>
        <w:rPr>
          <w:spacing w:val="-3"/>
        </w:rPr>
        <w:t> </w:t>
      </w:r>
      <w:r>
        <w:rPr/>
        <w:t>site</w:t>
      </w:r>
      <w:r>
        <w:rPr>
          <w:spacing w:val="-4"/>
        </w:rPr>
        <w:t> </w:t>
      </w:r>
      <w:r>
        <w:rPr/>
        <w:t>visit</w:t>
      </w:r>
      <w:r>
        <w:rPr>
          <w:spacing w:val="-3"/>
        </w:rPr>
        <w:t> </w:t>
      </w:r>
      <w:r>
        <w:rPr/>
        <w:t>from</w:t>
      </w:r>
      <w:r>
        <w:rPr>
          <w:spacing w:val="-3"/>
        </w:rPr>
        <w:t> </w:t>
      </w:r>
      <w:r>
        <w:rPr/>
        <w:t>a</w:t>
      </w:r>
      <w:r>
        <w:rPr>
          <w:spacing w:val="-2"/>
        </w:rPr>
        <w:t> </w:t>
      </w:r>
      <w:r>
        <w:rPr/>
        <w:t>certified</w:t>
      </w:r>
      <w:r>
        <w:rPr>
          <w:spacing w:val="-3"/>
        </w:rPr>
        <w:t> </w:t>
      </w:r>
      <w:r>
        <w:rPr/>
        <w:t>provided</w:t>
      </w:r>
      <w:r>
        <w:rPr>
          <w:spacing w:val="-3"/>
        </w:rPr>
        <w:t> </w:t>
      </w:r>
      <w:r>
        <w:rPr/>
        <w:t>was in</w:t>
      </w:r>
      <w:r>
        <w:rPr>
          <w:spacing w:val="-3"/>
        </w:rPr>
        <w:t> </w:t>
      </w:r>
      <w:r>
        <w:rPr/>
        <w:t>May</w:t>
      </w:r>
      <w:r>
        <w:rPr>
          <w:spacing w:val="-4"/>
        </w:rPr>
        <w:t> </w:t>
      </w:r>
      <w:r>
        <w:rPr/>
        <w:t>2024</w:t>
      </w:r>
      <w:r>
        <w:rPr>
          <w:spacing w:val="-1"/>
        </w:rPr>
        <w:t> </w:t>
      </w:r>
      <w:r>
        <w:rPr/>
        <w:t>and</w:t>
      </w:r>
      <w:r>
        <w:rPr>
          <w:spacing w:val="-3"/>
        </w:rPr>
        <w:t> </w:t>
      </w:r>
      <w:r>
        <w:rPr/>
        <w:t>August</w:t>
      </w:r>
      <w:r>
        <w:rPr>
          <w:spacing w:val="-4"/>
        </w:rPr>
        <w:t> </w:t>
      </w:r>
      <w:r>
        <w:rPr/>
        <w:t>2024, when</w:t>
      </w:r>
      <w:r>
        <w:rPr>
          <w:spacing w:val="-4"/>
        </w:rPr>
        <w:t> </w:t>
      </w:r>
      <w:r>
        <w:rPr/>
        <w:t>pumping</w:t>
      </w:r>
      <w:r>
        <w:rPr>
          <w:spacing w:val="-2"/>
        </w:rPr>
        <w:t> </w:t>
      </w:r>
      <w:r>
        <w:rPr/>
        <w:t>out</w:t>
      </w:r>
      <w:r>
        <w:rPr>
          <w:spacing w:val="-3"/>
        </w:rPr>
        <w:t> </w:t>
      </w:r>
      <w:r>
        <w:rPr/>
        <w:t>the solids was completed.</w:t>
      </w:r>
      <w:r>
        <w:rPr>
          <w:spacing w:val="40"/>
        </w:rPr>
        <w:t> </w:t>
      </w:r>
      <w:r>
        <w:rPr/>
        <w:t>Each pumping report from these two visits indicate that deficiencies noted.</w:t>
      </w:r>
    </w:p>
    <w:p>
      <w:pPr>
        <w:pStyle w:val="BodyText"/>
        <w:spacing w:line="259" w:lineRule="auto"/>
        <w:ind w:right="413"/>
      </w:pPr>
      <w:r>
        <w:rPr/>
        <w:t>One</w:t>
      </w:r>
      <w:r>
        <w:rPr>
          <w:spacing w:val="-4"/>
        </w:rPr>
        <w:t> </w:t>
      </w:r>
      <w:r>
        <w:rPr/>
        <w:t>month</w:t>
      </w:r>
      <w:r>
        <w:rPr>
          <w:spacing w:val="-3"/>
        </w:rPr>
        <w:t> </w:t>
      </w:r>
      <w:r>
        <w:rPr/>
        <w:t>following</w:t>
      </w:r>
      <w:r>
        <w:rPr>
          <w:spacing w:val="-4"/>
        </w:rPr>
        <w:t> </w:t>
      </w:r>
      <w:r>
        <w:rPr/>
        <w:t>the</w:t>
      </w:r>
      <w:r>
        <w:rPr>
          <w:spacing w:val="-2"/>
        </w:rPr>
        <w:t> </w:t>
      </w:r>
      <w:r>
        <w:rPr/>
        <w:t>May</w:t>
      </w:r>
      <w:r>
        <w:rPr>
          <w:spacing w:val="-2"/>
        </w:rPr>
        <w:t> </w:t>
      </w:r>
      <w:r>
        <w:rPr/>
        <w:t>2024</w:t>
      </w:r>
      <w:r>
        <w:rPr>
          <w:spacing w:val="-4"/>
        </w:rPr>
        <w:t> </w:t>
      </w:r>
      <w:r>
        <w:rPr/>
        <w:t>deficient</w:t>
      </w:r>
      <w:r>
        <w:rPr>
          <w:spacing w:val="-2"/>
        </w:rPr>
        <w:t> </w:t>
      </w:r>
      <w:r>
        <w:rPr/>
        <w:t>report,</w:t>
      </w:r>
      <w:r>
        <w:rPr>
          <w:spacing w:val="-4"/>
        </w:rPr>
        <w:t> </w:t>
      </w:r>
      <w:r>
        <w:rPr/>
        <w:t>a</w:t>
      </w:r>
      <w:r>
        <w:rPr>
          <w:spacing w:val="-2"/>
        </w:rPr>
        <w:t> </w:t>
      </w:r>
      <w:r>
        <w:rPr/>
        <w:t>Notice</w:t>
      </w:r>
      <w:r>
        <w:rPr>
          <w:spacing w:val="-2"/>
        </w:rPr>
        <w:t> </w:t>
      </w:r>
      <w:r>
        <w:rPr/>
        <w:t>of</w:t>
      </w:r>
      <w:r>
        <w:rPr>
          <w:spacing w:val="-4"/>
        </w:rPr>
        <w:t> </w:t>
      </w:r>
      <w:r>
        <w:rPr/>
        <w:t>Deficiency</w:t>
      </w:r>
      <w:r>
        <w:rPr>
          <w:spacing w:val="-2"/>
        </w:rPr>
        <w:t> </w:t>
      </w:r>
      <w:r>
        <w:rPr/>
        <w:t>letter</w:t>
      </w:r>
      <w:r>
        <w:rPr>
          <w:spacing w:val="-2"/>
        </w:rPr>
        <w:t> </w:t>
      </w:r>
      <w:r>
        <w:rPr/>
        <w:t>was</w:t>
      </w:r>
      <w:r>
        <w:rPr>
          <w:spacing w:val="-2"/>
        </w:rPr>
        <w:t> </w:t>
      </w:r>
      <w:r>
        <w:rPr/>
        <w:t>sent</w:t>
      </w:r>
      <w:r>
        <w:rPr>
          <w:spacing w:val="-2"/>
        </w:rPr>
        <w:t> </w:t>
      </w:r>
      <w:r>
        <w:rPr/>
        <w:t>to</w:t>
      </w:r>
      <w:r>
        <w:rPr>
          <w:spacing w:val="-4"/>
        </w:rPr>
        <w:t> </w:t>
      </w:r>
      <w:r>
        <w:rPr/>
        <w:t>notify</w:t>
      </w:r>
      <w:r>
        <w:rPr>
          <w:spacing w:val="-4"/>
        </w:rPr>
        <w:t> </w:t>
      </w:r>
      <w:r>
        <w:rPr/>
        <w:t>the owner deficiency identified and prompted to address the deficiency.</w:t>
      </w:r>
      <w:r>
        <w:rPr>
          <w:spacing w:val="40"/>
        </w:rPr>
        <w:t> </w:t>
      </w:r>
      <w:r>
        <w:rPr/>
        <w:t>This is standard practice for all deficiencies.</w:t>
      </w:r>
      <w:r>
        <w:rPr>
          <w:spacing w:val="40"/>
        </w:rPr>
        <w:t> </w:t>
      </w:r>
      <w:r>
        <w:rPr/>
        <w:t>The deficiencies identified in this report include system being flooded</w:t>
      </w:r>
      <w:r>
        <w:rPr>
          <w:spacing w:val="-1"/>
        </w:rPr>
        <w:t> </w:t>
      </w:r>
      <w:r>
        <w:rPr/>
        <w:t>upon</w:t>
      </w:r>
      <w:r>
        <w:rPr>
          <w:spacing w:val="-1"/>
        </w:rPr>
        <w:t> </w:t>
      </w:r>
      <w:r>
        <w:rPr/>
        <w:t>arrival, tank not being in good conditions, and baffles not being in good conditions. The provider recommended the owner contact a septic designer with this pumping report.</w:t>
      </w:r>
    </w:p>
    <w:p>
      <w:pPr>
        <w:pStyle w:val="BodyText"/>
        <w:spacing w:after="0" w:line="259" w:lineRule="auto"/>
        <w:sectPr>
          <w:footerReference w:type="default" r:id="rId5"/>
          <w:type w:val="continuous"/>
          <w:pgSz w:w="12240" w:h="15840"/>
          <w:pgMar w:header="0" w:footer="1281" w:top="520" w:bottom="1480" w:left="720" w:right="360"/>
          <w:pgNumType w:start="1"/>
        </w:sectPr>
      </w:pPr>
    </w:p>
    <w:p>
      <w:pPr>
        <w:pStyle w:val="BodyText"/>
        <w:spacing w:line="259" w:lineRule="auto" w:before="67"/>
        <w:ind w:right="413"/>
      </w:pPr>
      <w:r>
        <w:rPr/>
        <w:t>The August 2024 pumping report reiterated the previously identified issues along with expanded information</w:t>
      </w:r>
      <w:r>
        <w:rPr>
          <w:spacing w:val="-4"/>
        </w:rPr>
        <w:t> </w:t>
      </w:r>
      <w:r>
        <w:rPr/>
        <w:t>on</w:t>
      </w:r>
      <w:r>
        <w:rPr>
          <w:spacing w:val="-4"/>
        </w:rPr>
        <w:t> </w:t>
      </w:r>
      <w:r>
        <w:rPr/>
        <w:t>the</w:t>
      </w:r>
      <w:r>
        <w:rPr>
          <w:spacing w:val="-4"/>
        </w:rPr>
        <w:t> </w:t>
      </w:r>
      <w:r>
        <w:rPr/>
        <w:t>system</w:t>
      </w:r>
      <w:r>
        <w:rPr>
          <w:spacing w:val="-3"/>
        </w:rPr>
        <w:t> </w:t>
      </w:r>
      <w:r>
        <w:rPr/>
        <w:t>present</w:t>
      </w:r>
      <w:r>
        <w:rPr>
          <w:spacing w:val="-2"/>
        </w:rPr>
        <w:t> </w:t>
      </w:r>
      <w:r>
        <w:rPr/>
        <w:t>which</w:t>
      </w:r>
      <w:r>
        <w:rPr>
          <w:spacing w:val="-2"/>
        </w:rPr>
        <w:t> </w:t>
      </w:r>
      <w:r>
        <w:rPr/>
        <w:t>led</w:t>
      </w:r>
      <w:r>
        <w:rPr>
          <w:spacing w:val="-2"/>
        </w:rPr>
        <w:t> </w:t>
      </w:r>
      <w:r>
        <w:rPr/>
        <w:t>to</w:t>
      </w:r>
      <w:r>
        <w:rPr>
          <w:spacing w:val="-2"/>
        </w:rPr>
        <w:t> </w:t>
      </w:r>
      <w:r>
        <w:rPr/>
        <w:t>the</w:t>
      </w:r>
      <w:r>
        <w:rPr>
          <w:spacing w:val="-2"/>
        </w:rPr>
        <w:t> </w:t>
      </w:r>
      <w:r>
        <w:rPr/>
        <w:t>to</w:t>
      </w:r>
      <w:r>
        <w:rPr>
          <w:spacing w:val="-4"/>
        </w:rPr>
        <w:t> </w:t>
      </w:r>
      <w:r>
        <w:rPr/>
        <w:t>the</w:t>
      </w:r>
      <w:r>
        <w:rPr>
          <w:spacing w:val="-2"/>
        </w:rPr>
        <w:t> </w:t>
      </w:r>
      <w:r>
        <w:rPr/>
        <w:t>Notification</w:t>
      </w:r>
      <w:r>
        <w:rPr>
          <w:spacing w:val="-4"/>
        </w:rPr>
        <w:t> </w:t>
      </w:r>
      <w:r>
        <w:rPr/>
        <w:t>of</w:t>
      </w:r>
      <w:r>
        <w:rPr>
          <w:spacing w:val="-2"/>
        </w:rPr>
        <w:t> </w:t>
      </w:r>
      <w:r>
        <w:rPr/>
        <w:t>Failure</w:t>
      </w:r>
      <w:r>
        <w:rPr>
          <w:spacing w:val="-5"/>
        </w:rPr>
        <w:t> </w:t>
      </w:r>
      <w:r>
        <w:rPr/>
        <w:t>to</w:t>
      </w:r>
      <w:r>
        <w:rPr>
          <w:spacing w:val="-4"/>
        </w:rPr>
        <w:t> </w:t>
      </w:r>
      <w:r>
        <w:rPr/>
        <w:t>be</w:t>
      </w:r>
      <w:r>
        <w:rPr>
          <w:spacing w:val="-2"/>
        </w:rPr>
        <w:t> </w:t>
      </w:r>
      <w:r>
        <w:rPr/>
        <w:t>issued.</w:t>
      </w:r>
      <w:r>
        <w:rPr>
          <w:spacing w:val="40"/>
        </w:rPr>
        <w:t> </w:t>
      </w:r>
      <w:r>
        <w:rPr/>
        <w:t>This letter required action by November 12, 2024, to address the system malfunction/failure.</w:t>
      </w:r>
    </w:p>
    <w:p>
      <w:pPr>
        <w:pStyle w:val="BodyText"/>
        <w:spacing w:before="20"/>
      </w:pPr>
    </w:p>
    <w:p>
      <w:pPr>
        <w:pStyle w:val="BodyText"/>
        <w:spacing w:line="259" w:lineRule="auto"/>
        <w:ind w:right="1110"/>
        <w:jc w:val="both"/>
      </w:pPr>
      <w:r>
        <w:rPr/>
        <w:t>A follow-up inspection</w:t>
      </w:r>
      <w:r>
        <w:rPr>
          <w:spacing w:val="-2"/>
        </w:rPr>
        <w:t> </w:t>
      </w:r>
      <w:r>
        <w:rPr/>
        <w:t>report was submitted to Johnny’s Septic</w:t>
      </w:r>
      <w:r>
        <w:rPr>
          <w:spacing w:val="-2"/>
        </w:rPr>
        <w:t> </w:t>
      </w:r>
      <w:r>
        <w:rPr/>
        <w:t>Service.</w:t>
      </w:r>
      <w:r>
        <w:rPr>
          <w:spacing w:val="40"/>
        </w:rPr>
        <w:t> </w:t>
      </w:r>
      <w:r>
        <w:rPr/>
        <w:t>This inspection report indicated that the original cause of the failure was related to underground utility being installed through</w:t>
      </w:r>
      <w:r>
        <w:rPr>
          <w:spacing w:val="-3"/>
        </w:rPr>
        <w:t> </w:t>
      </w:r>
      <w:r>
        <w:rPr/>
        <w:t>the</w:t>
      </w:r>
      <w:r>
        <w:rPr>
          <w:spacing w:val="-3"/>
        </w:rPr>
        <w:t> </w:t>
      </w:r>
      <w:r>
        <w:rPr/>
        <w:t>transport</w:t>
      </w:r>
      <w:r>
        <w:rPr>
          <w:spacing w:val="-3"/>
        </w:rPr>
        <w:t> </w:t>
      </w:r>
      <w:r>
        <w:rPr/>
        <w:t>line.</w:t>
      </w:r>
      <w:r>
        <w:rPr>
          <w:spacing w:val="-3"/>
        </w:rPr>
        <w:t> </w:t>
      </w:r>
      <w:r>
        <w:rPr/>
        <w:t>The</w:t>
      </w:r>
      <w:r>
        <w:rPr>
          <w:spacing w:val="-3"/>
        </w:rPr>
        <w:t> </w:t>
      </w:r>
      <w:r>
        <w:rPr/>
        <w:t>report</w:t>
      </w:r>
      <w:r>
        <w:rPr>
          <w:spacing w:val="-3"/>
        </w:rPr>
        <w:t> </w:t>
      </w:r>
      <w:r>
        <w:rPr/>
        <w:t>also</w:t>
      </w:r>
      <w:r>
        <w:rPr>
          <w:spacing w:val="-3"/>
        </w:rPr>
        <w:t> </w:t>
      </w:r>
      <w:r>
        <w:rPr/>
        <w:t>indicated “property</w:t>
      </w:r>
      <w:r>
        <w:rPr>
          <w:spacing w:val="-6"/>
        </w:rPr>
        <w:t> </w:t>
      </w:r>
      <w:r>
        <w:rPr/>
        <w:t>owner</w:t>
      </w:r>
      <w:r>
        <w:rPr>
          <w:spacing w:val="-3"/>
        </w:rPr>
        <w:t> </w:t>
      </w:r>
      <w:r>
        <w:rPr/>
        <w:t>had</w:t>
      </w:r>
      <w:r>
        <w:rPr>
          <w:spacing w:val="-5"/>
        </w:rPr>
        <w:t> </w:t>
      </w:r>
      <w:r>
        <w:rPr/>
        <w:t>added</w:t>
      </w:r>
      <w:r>
        <w:rPr>
          <w:spacing w:val="-5"/>
        </w:rPr>
        <w:t> </w:t>
      </w:r>
      <w:r>
        <w:rPr/>
        <w:t>a</w:t>
      </w:r>
      <w:r>
        <w:rPr>
          <w:spacing w:val="-3"/>
        </w:rPr>
        <w:t> </w:t>
      </w:r>
      <w:r>
        <w:rPr/>
        <w:t>pump</w:t>
      </w:r>
      <w:r>
        <w:rPr>
          <w:spacing w:val="-3"/>
        </w:rPr>
        <w:t> </w:t>
      </w:r>
      <w:r>
        <w:rPr/>
        <w:t>tank</w:t>
      </w:r>
      <w:r>
        <w:rPr>
          <w:spacing w:val="-3"/>
        </w:rPr>
        <w:t> </w:t>
      </w:r>
      <w:r>
        <w:rPr/>
        <w:t>of unknown size and has plumbed discharge of pump tank back into the existing drainfield.”</w:t>
      </w:r>
    </w:p>
    <w:p>
      <w:pPr>
        <w:pStyle w:val="BodyText"/>
        <w:spacing w:before="22"/>
      </w:pPr>
    </w:p>
    <w:p>
      <w:pPr>
        <w:pStyle w:val="BodyText"/>
        <w:spacing w:line="259" w:lineRule="auto"/>
        <w:ind w:right="489"/>
        <w:jc w:val="both"/>
      </w:pPr>
      <w:r>
        <w:rPr/>
        <w:t>Installation</w:t>
      </w:r>
      <w:r>
        <w:rPr>
          <w:spacing w:val="-3"/>
        </w:rPr>
        <w:t> </w:t>
      </w:r>
      <w:r>
        <w:rPr/>
        <w:t>of</w:t>
      </w:r>
      <w:r>
        <w:rPr>
          <w:spacing w:val="-3"/>
        </w:rPr>
        <w:t> </w:t>
      </w:r>
      <w:r>
        <w:rPr/>
        <w:t>a</w:t>
      </w:r>
      <w:r>
        <w:rPr>
          <w:spacing w:val="-5"/>
        </w:rPr>
        <w:t> </w:t>
      </w:r>
      <w:r>
        <w:rPr/>
        <w:t>pump</w:t>
      </w:r>
      <w:r>
        <w:rPr>
          <w:spacing w:val="-5"/>
        </w:rPr>
        <w:t> </w:t>
      </w:r>
      <w:r>
        <w:rPr/>
        <w:t>tank</w:t>
      </w:r>
      <w:r>
        <w:rPr>
          <w:spacing w:val="-3"/>
        </w:rPr>
        <w:t> </w:t>
      </w:r>
      <w:r>
        <w:rPr/>
        <w:t>is</w:t>
      </w:r>
      <w:r>
        <w:rPr>
          <w:spacing w:val="-3"/>
        </w:rPr>
        <w:t> </w:t>
      </w:r>
      <w:r>
        <w:rPr/>
        <w:t>a</w:t>
      </w:r>
      <w:r>
        <w:rPr>
          <w:spacing w:val="-4"/>
        </w:rPr>
        <w:t> </w:t>
      </w:r>
      <w:r>
        <w:rPr/>
        <w:t>violation</w:t>
      </w:r>
      <w:r>
        <w:rPr>
          <w:spacing w:val="-3"/>
        </w:rPr>
        <w:t> </w:t>
      </w:r>
      <w:r>
        <w:rPr/>
        <w:t>of</w:t>
      </w:r>
      <w:r>
        <w:rPr>
          <w:spacing w:val="-5"/>
        </w:rPr>
        <w:t> </w:t>
      </w:r>
      <w:r>
        <w:rPr/>
        <w:t>Washington</w:t>
      </w:r>
      <w:r>
        <w:rPr>
          <w:spacing w:val="-5"/>
        </w:rPr>
        <w:t> </w:t>
      </w:r>
      <w:r>
        <w:rPr/>
        <w:t>Administrative</w:t>
      </w:r>
      <w:r>
        <w:rPr>
          <w:spacing w:val="-3"/>
        </w:rPr>
        <w:t> </w:t>
      </w:r>
      <w:r>
        <w:rPr/>
        <w:t>Code</w:t>
      </w:r>
      <w:r>
        <w:rPr>
          <w:spacing w:val="-3"/>
        </w:rPr>
        <w:t> </w:t>
      </w:r>
      <w:r>
        <w:rPr/>
        <w:t>and</w:t>
      </w:r>
      <w:r>
        <w:rPr>
          <w:spacing w:val="-3"/>
        </w:rPr>
        <w:t> </w:t>
      </w:r>
      <w:r>
        <w:rPr/>
        <w:t>Skagit</w:t>
      </w:r>
      <w:r>
        <w:rPr>
          <w:spacing w:val="-3"/>
        </w:rPr>
        <w:t> </w:t>
      </w:r>
      <w:r>
        <w:rPr/>
        <w:t>County</w:t>
      </w:r>
      <w:r>
        <w:rPr>
          <w:spacing w:val="-5"/>
        </w:rPr>
        <w:t> </w:t>
      </w:r>
      <w:r>
        <w:rPr/>
        <w:t>Code as referenced</w:t>
      </w:r>
      <w:r>
        <w:rPr>
          <w:spacing w:val="-1"/>
        </w:rPr>
        <w:t> </w:t>
      </w:r>
      <w:r>
        <w:rPr/>
        <w:t>in the Notification of</w:t>
      </w:r>
      <w:r>
        <w:rPr>
          <w:spacing w:val="-1"/>
        </w:rPr>
        <w:t> </w:t>
      </w:r>
      <w:r>
        <w:rPr/>
        <w:t>Violation letter sent February</w:t>
      </w:r>
      <w:r>
        <w:rPr>
          <w:spacing w:val="-2"/>
        </w:rPr>
        <w:t> </w:t>
      </w:r>
      <w:r>
        <w:rPr/>
        <w:t>26,</w:t>
      </w:r>
      <w:r>
        <w:rPr>
          <w:spacing w:val="-1"/>
        </w:rPr>
        <w:t> </w:t>
      </w:r>
      <w:r>
        <w:rPr/>
        <w:t>2025. This letter required action by March 28, 2025, to submit an on-site sewage permit for the work that was completed.</w:t>
      </w:r>
    </w:p>
    <w:p>
      <w:pPr>
        <w:pStyle w:val="BodyText"/>
        <w:spacing w:before="21"/>
      </w:pPr>
    </w:p>
    <w:p>
      <w:pPr>
        <w:pStyle w:val="BodyText"/>
        <w:spacing w:line="259" w:lineRule="auto"/>
        <w:ind w:right="413"/>
      </w:pPr>
      <w:r>
        <w:rPr/>
        <w:t>The appellant provided a printout of an email sent April 8, 2025, intended to be sent to Public Health and</w:t>
      </w:r>
      <w:r>
        <w:rPr>
          <w:spacing w:val="-3"/>
        </w:rPr>
        <w:t> </w:t>
      </w:r>
      <w:r>
        <w:rPr/>
        <w:t>was</w:t>
      </w:r>
      <w:r>
        <w:rPr>
          <w:spacing w:val="-3"/>
        </w:rPr>
        <w:t> </w:t>
      </w:r>
      <w:r>
        <w:rPr/>
        <w:t>sent</w:t>
      </w:r>
      <w:r>
        <w:rPr>
          <w:spacing w:val="-3"/>
        </w:rPr>
        <w:t> </w:t>
      </w:r>
      <w:r>
        <w:rPr/>
        <w:t>to</w:t>
      </w:r>
      <w:r>
        <w:rPr>
          <w:spacing w:val="-3"/>
        </w:rPr>
        <w:t> </w:t>
      </w:r>
      <w:r>
        <w:rPr/>
        <w:t>Commissioner</w:t>
      </w:r>
      <w:r>
        <w:rPr>
          <w:spacing w:val="-3"/>
        </w:rPr>
        <w:t> </w:t>
      </w:r>
      <w:r>
        <w:rPr/>
        <w:t>Browning.</w:t>
      </w:r>
      <w:r>
        <w:rPr>
          <w:spacing w:val="40"/>
        </w:rPr>
        <w:t> </w:t>
      </w:r>
      <w:r>
        <w:rPr/>
        <w:t>The</w:t>
      </w:r>
      <w:r>
        <w:rPr>
          <w:spacing w:val="-3"/>
        </w:rPr>
        <w:t> </w:t>
      </w:r>
      <w:r>
        <w:rPr/>
        <w:t>email</w:t>
      </w:r>
      <w:r>
        <w:rPr>
          <w:spacing w:val="-4"/>
        </w:rPr>
        <w:t> </w:t>
      </w:r>
      <w:r>
        <w:rPr/>
        <w:t>used</w:t>
      </w:r>
      <w:r>
        <w:rPr>
          <w:spacing w:val="-3"/>
        </w:rPr>
        <w:t> </w:t>
      </w:r>
      <w:r>
        <w:rPr/>
        <w:t>for</w:t>
      </w:r>
      <w:r>
        <w:rPr>
          <w:spacing w:val="-3"/>
        </w:rPr>
        <w:t> </w:t>
      </w:r>
      <w:r>
        <w:rPr/>
        <w:t>the</w:t>
      </w:r>
      <w:r>
        <w:rPr>
          <w:spacing w:val="-3"/>
        </w:rPr>
        <w:t> </w:t>
      </w:r>
      <w:r>
        <w:rPr/>
        <w:t>Public</w:t>
      </w:r>
      <w:r>
        <w:rPr>
          <w:spacing w:val="-3"/>
        </w:rPr>
        <w:t> </w:t>
      </w:r>
      <w:r>
        <w:rPr/>
        <w:t>Health</w:t>
      </w:r>
      <w:r>
        <w:rPr>
          <w:spacing w:val="-5"/>
        </w:rPr>
        <w:t> </w:t>
      </w:r>
      <w:r>
        <w:rPr/>
        <w:t>staff</w:t>
      </w:r>
      <w:r>
        <w:rPr>
          <w:spacing w:val="-3"/>
        </w:rPr>
        <w:t> </w:t>
      </w:r>
      <w:r>
        <w:rPr/>
        <w:t>is</w:t>
      </w:r>
      <w:r>
        <w:rPr>
          <w:spacing w:val="-3"/>
        </w:rPr>
        <w:t> </w:t>
      </w:r>
      <w:r>
        <w:rPr/>
        <w:t>incorrect</w:t>
      </w:r>
      <w:r>
        <w:rPr>
          <w:spacing w:val="-3"/>
        </w:rPr>
        <w:t> </w:t>
      </w:r>
      <w:r>
        <w:rPr/>
        <w:t>thus, Public Health did not receive the email sent. Public Health has no record of other contact being </w:t>
      </w:r>
      <w:r>
        <w:rPr>
          <w:spacing w:val="-2"/>
        </w:rPr>
        <w:t>attempted.</w:t>
      </w:r>
    </w:p>
    <w:p>
      <w:pPr>
        <w:pStyle w:val="BodyText"/>
        <w:spacing w:before="22"/>
      </w:pPr>
    </w:p>
    <w:p>
      <w:pPr>
        <w:pStyle w:val="BodyText"/>
        <w:spacing w:line="259" w:lineRule="auto" w:before="1"/>
        <w:ind w:right="413"/>
      </w:pPr>
      <w:r>
        <w:rPr/>
        <w:t>Lack of contact and lack of permit application led to the Notice of Fine Accumulation being drafted and sent May 2, 2025. The appeal form completed by the appellant indicates the date enforcement action</w:t>
      </w:r>
      <w:r>
        <w:rPr>
          <w:spacing w:val="-2"/>
        </w:rPr>
        <w:t> </w:t>
      </w:r>
      <w:r>
        <w:rPr/>
        <w:t>issued</w:t>
      </w:r>
      <w:r>
        <w:rPr>
          <w:spacing w:val="-4"/>
        </w:rPr>
        <w:t> </w:t>
      </w:r>
      <w:r>
        <w:rPr/>
        <w:t>by</w:t>
      </w:r>
      <w:r>
        <w:rPr>
          <w:spacing w:val="-2"/>
        </w:rPr>
        <w:t> </w:t>
      </w:r>
      <w:r>
        <w:rPr/>
        <w:t>Skagit</w:t>
      </w:r>
      <w:r>
        <w:rPr>
          <w:spacing w:val="-5"/>
        </w:rPr>
        <w:t> </w:t>
      </w:r>
      <w:r>
        <w:rPr/>
        <w:t>County</w:t>
      </w:r>
      <w:r>
        <w:rPr>
          <w:spacing w:val="-4"/>
        </w:rPr>
        <w:t> </w:t>
      </w:r>
      <w:r>
        <w:rPr/>
        <w:t>Public</w:t>
      </w:r>
      <w:r>
        <w:rPr>
          <w:spacing w:val="-2"/>
        </w:rPr>
        <w:t> </w:t>
      </w:r>
      <w:r>
        <w:rPr/>
        <w:t>Health</w:t>
      </w:r>
      <w:r>
        <w:rPr>
          <w:spacing w:val="-6"/>
        </w:rPr>
        <w:t> </w:t>
      </w:r>
      <w:r>
        <w:rPr/>
        <w:t>as</w:t>
      </w:r>
      <w:r>
        <w:rPr>
          <w:spacing w:val="-2"/>
        </w:rPr>
        <w:t> </w:t>
      </w:r>
      <w:r>
        <w:rPr/>
        <w:t>May</w:t>
      </w:r>
      <w:r>
        <w:rPr>
          <w:spacing w:val="-1"/>
        </w:rPr>
        <w:t> </w:t>
      </w:r>
      <w:r>
        <w:rPr/>
        <w:t>16,</w:t>
      </w:r>
      <w:r>
        <w:rPr>
          <w:spacing w:val="-2"/>
        </w:rPr>
        <w:t> </w:t>
      </w:r>
      <w:r>
        <w:rPr/>
        <w:t>2025.</w:t>
      </w:r>
      <w:r>
        <w:rPr>
          <w:spacing w:val="-1"/>
        </w:rPr>
        <w:t> </w:t>
      </w:r>
      <w:r>
        <w:rPr/>
        <w:t>This</w:t>
      </w:r>
      <w:r>
        <w:rPr>
          <w:spacing w:val="-5"/>
        </w:rPr>
        <w:t> </w:t>
      </w:r>
      <w:r>
        <w:rPr/>
        <w:t>is</w:t>
      </w:r>
      <w:r>
        <w:rPr>
          <w:spacing w:val="-2"/>
        </w:rPr>
        <w:t> </w:t>
      </w:r>
      <w:r>
        <w:rPr/>
        <w:t>the</w:t>
      </w:r>
      <w:r>
        <w:rPr>
          <w:spacing w:val="-4"/>
        </w:rPr>
        <w:t> </w:t>
      </w:r>
      <w:r>
        <w:rPr/>
        <w:t>date</w:t>
      </w:r>
      <w:r>
        <w:rPr>
          <w:spacing w:val="-2"/>
        </w:rPr>
        <w:t> </w:t>
      </w:r>
      <w:r>
        <w:rPr/>
        <w:t>the</w:t>
      </w:r>
      <w:r>
        <w:rPr>
          <w:spacing w:val="-2"/>
        </w:rPr>
        <w:t> </w:t>
      </w:r>
      <w:r>
        <w:rPr/>
        <w:t>certified</w:t>
      </w:r>
      <w:r>
        <w:rPr>
          <w:spacing w:val="-4"/>
        </w:rPr>
        <w:t> </w:t>
      </w:r>
      <w:r>
        <w:rPr/>
        <w:t>mail</w:t>
      </w:r>
      <w:r>
        <w:rPr>
          <w:spacing w:val="-3"/>
        </w:rPr>
        <w:t> </w:t>
      </w:r>
      <w:r>
        <w:rPr/>
        <w:t>was signed for.</w:t>
      </w:r>
    </w:p>
    <w:p>
      <w:pPr>
        <w:pStyle w:val="BodyText"/>
        <w:spacing w:before="20"/>
      </w:pPr>
    </w:p>
    <w:p>
      <w:pPr>
        <w:pStyle w:val="BodyText"/>
      </w:pPr>
      <w:r>
        <w:rPr>
          <w:u w:val="single"/>
        </w:rPr>
        <w:t>Request</w:t>
      </w:r>
      <w:r>
        <w:rPr>
          <w:spacing w:val="-1"/>
          <w:u w:val="single"/>
        </w:rPr>
        <w:t> </w:t>
      </w:r>
      <w:r>
        <w:rPr>
          <w:u w:val="single"/>
        </w:rPr>
        <w:t>by</w:t>
      </w:r>
      <w:r>
        <w:rPr>
          <w:spacing w:val="-3"/>
          <w:u w:val="single"/>
        </w:rPr>
        <w:t> </w:t>
      </w:r>
      <w:r>
        <w:rPr>
          <w:spacing w:val="-2"/>
          <w:u w:val="single"/>
        </w:rPr>
        <w:t>Appellant</w:t>
      </w:r>
      <w:r>
        <w:rPr>
          <w:spacing w:val="-2"/>
          <w:u w:val="none"/>
        </w:rPr>
        <w:t>:</w:t>
      </w:r>
    </w:p>
    <w:p>
      <w:pPr>
        <w:pStyle w:val="BodyText"/>
        <w:spacing w:line="259" w:lineRule="auto" w:before="21"/>
        <w:ind w:right="413"/>
      </w:pPr>
      <w:r>
        <w:rPr/>
        <w:t>The appellant’s appeal application is requesting the Notice of Fine Accumulation stating that they were</w:t>
      </w:r>
      <w:r>
        <w:rPr>
          <w:spacing w:val="-2"/>
        </w:rPr>
        <w:t> </w:t>
      </w:r>
      <w:r>
        <w:rPr/>
        <w:t>not</w:t>
      </w:r>
      <w:r>
        <w:rPr>
          <w:spacing w:val="-4"/>
        </w:rPr>
        <w:t> </w:t>
      </w:r>
      <w:r>
        <w:rPr/>
        <w:t>in</w:t>
      </w:r>
      <w:r>
        <w:rPr>
          <w:spacing w:val="-2"/>
        </w:rPr>
        <w:t> </w:t>
      </w:r>
      <w:r>
        <w:rPr/>
        <w:t>violation</w:t>
      </w:r>
      <w:r>
        <w:rPr>
          <w:spacing w:val="-4"/>
        </w:rPr>
        <w:t> </w:t>
      </w:r>
      <w:r>
        <w:rPr/>
        <w:t>of</w:t>
      </w:r>
      <w:r>
        <w:rPr>
          <w:spacing w:val="-4"/>
        </w:rPr>
        <w:t> </w:t>
      </w:r>
      <w:r>
        <w:rPr/>
        <w:t>Washington</w:t>
      </w:r>
      <w:r>
        <w:rPr>
          <w:spacing w:val="-2"/>
        </w:rPr>
        <w:t> </w:t>
      </w:r>
      <w:r>
        <w:rPr/>
        <w:t>Administrative</w:t>
      </w:r>
      <w:r>
        <w:rPr>
          <w:spacing w:val="-2"/>
        </w:rPr>
        <w:t> </w:t>
      </w:r>
      <w:r>
        <w:rPr/>
        <w:t>Code</w:t>
      </w:r>
      <w:r>
        <w:rPr>
          <w:spacing w:val="-2"/>
        </w:rPr>
        <w:t> </w:t>
      </w:r>
      <w:r>
        <w:rPr/>
        <w:t>or</w:t>
      </w:r>
      <w:r>
        <w:rPr>
          <w:spacing w:val="-5"/>
        </w:rPr>
        <w:t> </w:t>
      </w:r>
      <w:r>
        <w:rPr/>
        <w:t>Skagit</w:t>
      </w:r>
      <w:r>
        <w:rPr>
          <w:spacing w:val="-5"/>
        </w:rPr>
        <w:t> </w:t>
      </w:r>
      <w:r>
        <w:rPr/>
        <w:t>County</w:t>
      </w:r>
      <w:r>
        <w:rPr>
          <w:spacing w:val="-4"/>
        </w:rPr>
        <w:t> </w:t>
      </w:r>
      <w:r>
        <w:rPr/>
        <w:t>Code.</w:t>
      </w:r>
      <w:r>
        <w:rPr>
          <w:spacing w:val="40"/>
        </w:rPr>
        <w:t> </w:t>
      </w:r>
      <w:r>
        <w:rPr/>
        <w:t>An</w:t>
      </w:r>
      <w:r>
        <w:rPr>
          <w:spacing w:val="-2"/>
        </w:rPr>
        <w:t> </w:t>
      </w:r>
      <w:r>
        <w:rPr/>
        <w:t>additional</w:t>
      </w:r>
      <w:r>
        <w:rPr>
          <w:spacing w:val="-2"/>
        </w:rPr>
        <w:t> </w:t>
      </w:r>
      <w:r>
        <w:rPr/>
        <w:t>letter was provided with the appeal form indicating the appeal form is being submitted to appeal the “excessive fines when there was not effluent present.” The letter also states that the appellant has contracted with Tiger Tank Pumping to remedy the situation.</w:t>
      </w:r>
    </w:p>
    <w:p>
      <w:pPr>
        <w:pStyle w:val="BodyText"/>
        <w:spacing w:before="22"/>
      </w:pPr>
    </w:p>
    <w:p>
      <w:pPr>
        <w:pStyle w:val="BodyText"/>
      </w:pPr>
      <w:r>
        <w:rPr>
          <w:spacing w:val="-2"/>
          <w:u w:val="single"/>
        </w:rPr>
        <w:t>Discussion:</w:t>
      </w:r>
    </w:p>
    <w:p>
      <w:pPr>
        <w:pStyle w:val="BodyText"/>
        <w:spacing w:line="259" w:lineRule="auto" w:before="22"/>
        <w:ind w:right="413"/>
      </w:pPr>
      <w:r>
        <w:rPr/>
        <w:t>Skagit County Public Health staff have followed our failure procedure and violation for illegal installation of septic components that require permitting.</w:t>
      </w:r>
      <w:r>
        <w:rPr>
          <w:spacing w:val="40"/>
        </w:rPr>
        <w:t> </w:t>
      </w:r>
      <w:r>
        <w:rPr/>
        <w:t>Tiger Tank Pumping has contact Skagit County</w:t>
      </w:r>
      <w:r>
        <w:rPr>
          <w:spacing w:val="-1"/>
        </w:rPr>
        <w:t> </w:t>
      </w:r>
      <w:r>
        <w:rPr/>
        <w:t>Public Health,</w:t>
      </w:r>
      <w:r>
        <w:rPr>
          <w:spacing w:val="-3"/>
        </w:rPr>
        <w:t> </w:t>
      </w:r>
      <w:r>
        <w:rPr/>
        <w:t>on May</w:t>
      </w:r>
      <w:r>
        <w:rPr>
          <w:spacing w:val="-1"/>
        </w:rPr>
        <w:t> </w:t>
      </w:r>
      <w:r>
        <w:rPr/>
        <w:t>29,</w:t>
      </w:r>
      <w:r>
        <w:rPr>
          <w:spacing w:val="-1"/>
        </w:rPr>
        <w:t> </w:t>
      </w:r>
      <w:r>
        <w:rPr/>
        <w:t>2025, indicating</w:t>
      </w:r>
      <w:r>
        <w:rPr>
          <w:spacing w:val="-1"/>
        </w:rPr>
        <w:t> </w:t>
      </w:r>
      <w:r>
        <w:rPr/>
        <w:t>they</w:t>
      </w:r>
      <w:r>
        <w:rPr>
          <w:spacing w:val="-2"/>
        </w:rPr>
        <w:t> </w:t>
      </w:r>
      <w:r>
        <w:rPr/>
        <w:t>are in</w:t>
      </w:r>
      <w:r>
        <w:rPr>
          <w:spacing w:val="-1"/>
        </w:rPr>
        <w:t> </w:t>
      </w:r>
      <w:r>
        <w:rPr/>
        <w:t>contract with Tulip Time</w:t>
      </w:r>
      <w:r>
        <w:rPr>
          <w:spacing w:val="-1"/>
        </w:rPr>
        <w:t> </w:t>
      </w:r>
      <w:r>
        <w:rPr/>
        <w:t>LLC</w:t>
      </w:r>
      <w:r>
        <w:rPr>
          <w:spacing w:val="-2"/>
        </w:rPr>
        <w:t> </w:t>
      </w:r>
      <w:r>
        <w:rPr/>
        <w:t>to review what</w:t>
      </w:r>
      <w:r>
        <w:rPr>
          <w:spacing w:val="-2"/>
        </w:rPr>
        <w:t> </w:t>
      </w:r>
      <w:r>
        <w:rPr/>
        <w:t>was</w:t>
      </w:r>
      <w:r>
        <w:rPr>
          <w:spacing w:val="-2"/>
        </w:rPr>
        <w:t> </w:t>
      </w:r>
      <w:r>
        <w:rPr/>
        <w:t>installed</w:t>
      </w:r>
      <w:r>
        <w:rPr>
          <w:spacing w:val="-4"/>
        </w:rPr>
        <w:t> </w:t>
      </w:r>
      <w:r>
        <w:rPr/>
        <w:t>and</w:t>
      </w:r>
      <w:r>
        <w:rPr>
          <w:spacing w:val="-4"/>
        </w:rPr>
        <w:t> </w:t>
      </w:r>
      <w:r>
        <w:rPr/>
        <w:t>submit</w:t>
      </w:r>
      <w:r>
        <w:rPr>
          <w:spacing w:val="-2"/>
        </w:rPr>
        <w:t> </w:t>
      </w:r>
      <w:r>
        <w:rPr/>
        <w:t>a</w:t>
      </w:r>
      <w:r>
        <w:rPr>
          <w:spacing w:val="-3"/>
        </w:rPr>
        <w:t> </w:t>
      </w:r>
      <w:r>
        <w:rPr/>
        <w:t>permit</w:t>
      </w:r>
      <w:r>
        <w:rPr>
          <w:spacing w:val="-2"/>
        </w:rPr>
        <w:t> </w:t>
      </w:r>
      <w:r>
        <w:rPr/>
        <w:t>for</w:t>
      </w:r>
      <w:r>
        <w:rPr>
          <w:spacing w:val="-5"/>
        </w:rPr>
        <w:t> </w:t>
      </w:r>
      <w:r>
        <w:rPr/>
        <w:t>the</w:t>
      </w:r>
      <w:r>
        <w:rPr>
          <w:spacing w:val="-4"/>
        </w:rPr>
        <w:t> </w:t>
      </w:r>
      <w:r>
        <w:rPr/>
        <w:t>work</w:t>
      </w:r>
      <w:r>
        <w:rPr>
          <w:spacing w:val="-2"/>
        </w:rPr>
        <w:t> </w:t>
      </w:r>
      <w:r>
        <w:rPr/>
        <w:t>completed</w:t>
      </w:r>
      <w:r>
        <w:rPr>
          <w:spacing w:val="-2"/>
        </w:rPr>
        <w:t> </w:t>
      </w:r>
      <w:r>
        <w:rPr/>
        <w:t>and</w:t>
      </w:r>
      <w:r>
        <w:rPr>
          <w:spacing w:val="-4"/>
        </w:rPr>
        <w:t> </w:t>
      </w:r>
      <w:r>
        <w:rPr/>
        <w:t>any</w:t>
      </w:r>
      <w:r>
        <w:rPr>
          <w:spacing w:val="-2"/>
        </w:rPr>
        <w:t> </w:t>
      </w:r>
      <w:r>
        <w:rPr/>
        <w:t>upgrades</w:t>
      </w:r>
      <w:r>
        <w:rPr>
          <w:spacing w:val="-2"/>
        </w:rPr>
        <w:t> </w:t>
      </w:r>
      <w:r>
        <w:rPr/>
        <w:t>necessary</w:t>
      </w:r>
      <w:r>
        <w:rPr>
          <w:spacing w:val="-2"/>
        </w:rPr>
        <w:t> </w:t>
      </w:r>
      <w:r>
        <w:rPr/>
        <w:t>to</w:t>
      </w:r>
      <w:r>
        <w:rPr>
          <w:spacing w:val="-4"/>
        </w:rPr>
        <w:t> </w:t>
      </w:r>
      <w:r>
        <w:rPr/>
        <w:t>make the system conforming.</w:t>
      </w:r>
    </w:p>
    <w:p>
      <w:pPr>
        <w:pStyle w:val="BodyText"/>
        <w:spacing w:before="19"/>
      </w:pPr>
    </w:p>
    <w:p>
      <w:pPr>
        <w:pStyle w:val="BodyText"/>
        <w:spacing w:line="259" w:lineRule="auto" w:before="1"/>
        <w:ind w:right="413"/>
      </w:pPr>
      <w:r>
        <w:rPr/>
        <w:t>Larry Jensen of Tulip Time LLC was also issued a Notification of Failure, Notice of Violation, and Notice</w:t>
      </w:r>
      <w:r>
        <w:rPr>
          <w:spacing w:val="-2"/>
        </w:rPr>
        <w:t> </w:t>
      </w:r>
      <w:r>
        <w:rPr/>
        <w:t>of</w:t>
      </w:r>
      <w:r>
        <w:rPr>
          <w:spacing w:val="-4"/>
        </w:rPr>
        <w:t> </w:t>
      </w:r>
      <w:r>
        <w:rPr/>
        <w:t>Fine</w:t>
      </w:r>
      <w:r>
        <w:rPr>
          <w:spacing w:val="-4"/>
        </w:rPr>
        <w:t> </w:t>
      </w:r>
      <w:r>
        <w:rPr/>
        <w:t>Accumulation</w:t>
      </w:r>
      <w:r>
        <w:rPr>
          <w:spacing w:val="-1"/>
        </w:rPr>
        <w:t> </w:t>
      </w:r>
      <w:r>
        <w:rPr/>
        <w:t>for</w:t>
      </w:r>
      <w:r>
        <w:rPr>
          <w:spacing w:val="-2"/>
        </w:rPr>
        <w:t> </w:t>
      </w:r>
      <w:r>
        <w:rPr/>
        <w:t>a</w:t>
      </w:r>
      <w:r>
        <w:rPr>
          <w:spacing w:val="-4"/>
        </w:rPr>
        <w:t> </w:t>
      </w:r>
      <w:r>
        <w:rPr/>
        <w:t>different</w:t>
      </w:r>
      <w:r>
        <w:rPr>
          <w:spacing w:val="-2"/>
        </w:rPr>
        <w:t> </w:t>
      </w:r>
      <w:r>
        <w:rPr/>
        <w:t>property.</w:t>
      </w:r>
      <w:r>
        <w:rPr>
          <w:spacing w:val="40"/>
        </w:rPr>
        <w:t> </w:t>
      </w:r>
      <w:r>
        <w:rPr/>
        <w:t>Larry</w:t>
      </w:r>
      <w:r>
        <w:rPr>
          <w:spacing w:val="-2"/>
        </w:rPr>
        <w:t> </w:t>
      </w:r>
      <w:r>
        <w:rPr/>
        <w:t>came</w:t>
      </w:r>
      <w:r>
        <w:rPr>
          <w:spacing w:val="-2"/>
        </w:rPr>
        <w:t> </w:t>
      </w:r>
      <w:r>
        <w:rPr/>
        <w:t>into</w:t>
      </w:r>
      <w:r>
        <w:rPr>
          <w:spacing w:val="-2"/>
        </w:rPr>
        <w:t> </w:t>
      </w:r>
      <w:r>
        <w:rPr/>
        <w:t>Skagit</w:t>
      </w:r>
      <w:r>
        <w:rPr>
          <w:spacing w:val="-2"/>
        </w:rPr>
        <w:t> </w:t>
      </w:r>
      <w:r>
        <w:rPr/>
        <w:t>County</w:t>
      </w:r>
      <w:r>
        <w:rPr>
          <w:spacing w:val="-2"/>
        </w:rPr>
        <w:t> </w:t>
      </w:r>
      <w:r>
        <w:rPr/>
        <w:t>Public</w:t>
      </w:r>
      <w:r>
        <w:rPr>
          <w:spacing w:val="-5"/>
        </w:rPr>
        <w:t> </w:t>
      </w:r>
      <w:r>
        <w:rPr/>
        <w:t>Health</w:t>
      </w:r>
      <w:r>
        <w:rPr>
          <w:spacing w:val="-4"/>
        </w:rPr>
        <w:t> </w:t>
      </w:r>
      <w:r>
        <w:rPr/>
        <w:t>on February 6, 2025, regarding this failure where Public Health staff explained that work completed on the</w:t>
      </w:r>
      <w:r>
        <w:rPr>
          <w:spacing w:val="-3"/>
        </w:rPr>
        <w:t> </w:t>
      </w:r>
      <w:r>
        <w:rPr/>
        <w:t>septic</w:t>
      </w:r>
      <w:r>
        <w:rPr>
          <w:spacing w:val="-3"/>
        </w:rPr>
        <w:t> </w:t>
      </w:r>
      <w:r>
        <w:rPr/>
        <w:t>system</w:t>
      </w:r>
      <w:r>
        <w:rPr>
          <w:spacing w:val="-3"/>
        </w:rPr>
        <w:t> </w:t>
      </w:r>
      <w:r>
        <w:rPr/>
        <w:t>required</w:t>
      </w:r>
      <w:r>
        <w:rPr>
          <w:spacing w:val="-3"/>
        </w:rPr>
        <w:t> </w:t>
      </w:r>
      <w:r>
        <w:rPr/>
        <w:t>a</w:t>
      </w:r>
      <w:r>
        <w:rPr>
          <w:spacing w:val="-3"/>
        </w:rPr>
        <w:t> </w:t>
      </w:r>
      <w:r>
        <w:rPr/>
        <w:t>permit. It</w:t>
      </w:r>
      <w:r>
        <w:rPr>
          <w:spacing w:val="-3"/>
        </w:rPr>
        <w:t> </w:t>
      </w:r>
      <w:r>
        <w:rPr/>
        <w:t>was</w:t>
      </w:r>
      <w:r>
        <w:rPr>
          <w:spacing w:val="-3"/>
        </w:rPr>
        <w:t> </w:t>
      </w:r>
      <w:r>
        <w:rPr/>
        <w:t>also</w:t>
      </w:r>
      <w:r>
        <w:rPr>
          <w:spacing w:val="-3"/>
        </w:rPr>
        <w:t> </w:t>
      </w:r>
      <w:r>
        <w:rPr/>
        <w:t>discussed</w:t>
      </w:r>
      <w:r>
        <w:rPr>
          <w:spacing w:val="-3"/>
        </w:rPr>
        <w:t> </w:t>
      </w:r>
      <w:r>
        <w:rPr/>
        <w:t>that</w:t>
      </w:r>
      <w:r>
        <w:rPr>
          <w:spacing w:val="-4"/>
        </w:rPr>
        <w:t> </w:t>
      </w:r>
      <w:r>
        <w:rPr/>
        <w:t>the</w:t>
      </w:r>
      <w:r>
        <w:rPr>
          <w:spacing w:val="-4"/>
        </w:rPr>
        <w:t> </w:t>
      </w:r>
      <w:r>
        <w:rPr/>
        <w:t>fines</w:t>
      </w:r>
      <w:r>
        <w:rPr>
          <w:spacing w:val="-3"/>
        </w:rPr>
        <w:t> </w:t>
      </w:r>
      <w:r>
        <w:rPr/>
        <w:t>may</w:t>
      </w:r>
      <w:r>
        <w:rPr>
          <w:spacing w:val="-2"/>
        </w:rPr>
        <w:t> </w:t>
      </w:r>
      <w:r>
        <w:rPr/>
        <w:t>be</w:t>
      </w:r>
      <w:r>
        <w:rPr>
          <w:spacing w:val="-3"/>
        </w:rPr>
        <w:t> </w:t>
      </w:r>
      <w:r>
        <w:rPr/>
        <w:t>reduced</w:t>
      </w:r>
      <w:r>
        <w:rPr>
          <w:spacing w:val="-4"/>
        </w:rPr>
        <w:t> </w:t>
      </w:r>
      <w:r>
        <w:rPr/>
        <w:t>or</w:t>
      </w:r>
      <w:r>
        <w:rPr>
          <w:spacing w:val="-5"/>
        </w:rPr>
        <w:t> </w:t>
      </w:r>
      <w:r>
        <w:rPr/>
        <w:t>removed (waived) if a permit is submitted and the system be repaired in a timely manner. The Notice of Fine Accumulation for the parcel in question indicates this as well.</w:t>
      </w:r>
    </w:p>
    <w:p>
      <w:pPr>
        <w:pStyle w:val="BodyText"/>
        <w:spacing w:after="0" w:line="259" w:lineRule="auto"/>
        <w:sectPr>
          <w:pgSz w:w="12240" w:h="15840"/>
          <w:pgMar w:header="0" w:footer="1281" w:top="1220" w:bottom="1480" w:left="720" w:right="360"/>
        </w:sectPr>
      </w:pPr>
    </w:p>
    <w:p>
      <w:pPr>
        <w:pStyle w:val="BodyText"/>
        <w:spacing w:before="65"/>
      </w:pPr>
      <w:r>
        <w:rPr>
          <w:u w:val="single"/>
        </w:rPr>
        <w:t>Recommended</w:t>
      </w:r>
      <w:r>
        <w:rPr>
          <w:spacing w:val="-6"/>
          <w:u w:val="single"/>
        </w:rPr>
        <w:t> </w:t>
      </w:r>
      <w:r>
        <w:rPr>
          <w:spacing w:val="-2"/>
          <w:u w:val="single"/>
        </w:rPr>
        <w:t>Actions:</w:t>
      </w:r>
    </w:p>
    <w:p>
      <w:pPr>
        <w:pStyle w:val="BodyText"/>
        <w:spacing w:before="43"/>
      </w:pPr>
    </w:p>
    <w:p>
      <w:pPr>
        <w:pStyle w:val="BodyText"/>
        <w:spacing w:line="259" w:lineRule="auto"/>
        <w:ind w:right="413"/>
      </w:pPr>
      <w:r>
        <w:rPr/>
        <w:t>Deny</w:t>
      </w:r>
      <w:r>
        <w:rPr>
          <w:spacing w:val="-3"/>
        </w:rPr>
        <w:t> </w:t>
      </w:r>
      <w:r>
        <w:rPr/>
        <w:t>the</w:t>
      </w:r>
      <w:r>
        <w:rPr>
          <w:spacing w:val="-3"/>
        </w:rPr>
        <w:t> </w:t>
      </w:r>
      <w:r>
        <w:rPr/>
        <w:t>appeal</w:t>
      </w:r>
      <w:r>
        <w:rPr>
          <w:spacing w:val="-3"/>
        </w:rPr>
        <w:t> </w:t>
      </w:r>
      <w:r>
        <w:rPr/>
        <w:t>as</w:t>
      </w:r>
      <w:r>
        <w:rPr>
          <w:spacing w:val="-3"/>
        </w:rPr>
        <w:t> </w:t>
      </w:r>
      <w:r>
        <w:rPr/>
        <w:t>the</w:t>
      </w:r>
      <w:r>
        <w:rPr>
          <w:spacing w:val="-3"/>
        </w:rPr>
        <w:t> </w:t>
      </w:r>
      <w:r>
        <w:rPr/>
        <w:t>failure</w:t>
      </w:r>
      <w:r>
        <w:rPr>
          <w:spacing w:val="-3"/>
        </w:rPr>
        <w:t> </w:t>
      </w:r>
      <w:r>
        <w:rPr/>
        <w:t>identified in</w:t>
      </w:r>
      <w:r>
        <w:rPr>
          <w:spacing w:val="-5"/>
        </w:rPr>
        <w:t> </w:t>
      </w:r>
      <w:r>
        <w:rPr/>
        <w:t>September</w:t>
      </w:r>
      <w:r>
        <w:rPr>
          <w:spacing w:val="-2"/>
        </w:rPr>
        <w:t> </w:t>
      </w:r>
      <w:r>
        <w:rPr/>
        <w:t>2024</w:t>
      </w:r>
      <w:r>
        <w:rPr>
          <w:spacing w:val="-2"/>
        </w:rPr>
        <w:t> </w:t>
      </w:r>
      <w:r>
        <w:rPr/>
        <w:t>which</w:t>
      </w:r>
      <w:r>
        <w:rPr>
          <w:spacing w:val="-5"/>
        </w:rPr>
        <w:t> </w:t>
      </w:r>
      <w:r>
        <w:rPr/>
        <w:t>was</w:t>
      </w:r>
      <w:r>
        <w:rPr>
          <w:spacing w:val="-3"/>
        </w:rPr>
        <w:t> </w:t>
      </w:r>
      <w:r>
        <w:rPr/>
        <w:t>not</w:t>
      </w:r>
      <w:r>
        <w:rPr>
          <w:spacing w:val="-5"/>
        </w:rPr>
        <w:t> </w:t>
      </w:r>
      <w:r>
        <w:rPr/>
        <w:t>addressed</w:t>
      </w:r>
      <w:r>
        <w:rPr>
          <w:spacing w:val="-3"/>
        </w:rPr>
        <w:t> </w:t>
      </w:r>
      <w:r>
        <w:rPr/>
        <w:t>with</w:t>
      </w:r>
      <w:r>
        <w:rPr>
          <w:spacing w:val="-3"/>
        </w:rPr>
        <w:t> </w:t>
      </w:r>
      <w:r>
        <w:rPr/>
        <w:t>the necessary permitting and professional repair leading to the Notice of Violation.</w:t>
      </w:r>
    </w:p>
    <w:p>
      <w:pPr>
        <w:pStyle w:val="BodyText"/>
        <w:spacing w:before="23"/>
      </w:pPr>
    </w:p>
    <w:p>
      <w:pPr>
        <w:pStyle w:val="BodyText"/>
        <w:spacing w:line="259" w:lineRule="auto"/>
        <w:ind w:right="79"/>
      </w:pPr>
      <w:r>
        <w:rPr/>
        <w:t>Conditionally</w:t>
      </w:r>
      <w:r>
        <w:rPr>
          <w:spacing w:val="-1"/>
        </w:rPr>
        <w:t> </w:t>
      </w:r>
      <w:r>
        <w:rPr/>
        <w:t>approve</w:t>
      </w:r>
      <w:r>
        <w:rPr>
          <w:spacing w:val="-3"/>
        </w:rPr>
        <w:t> </w:t>
      </w:r>
      <w:r>
        <w:rPr/>
        <w:t>the</w:t>
      </w:r>
      <w:r>
        <w:rPr>
          <w:spacing w:val="-2"/>
        </w:rPr>
        <w:t> </w:t>
      </w:r>
      <w:r>
        <w:rPr/>
        <w:t>appeal</w:t>
      </w:r>
      <w:r>
        <w:rPr>
          <w:spacing w:val="-2"/>
        </w:rPr>
        <w:t> </w:t>
      </w:r>
      <w:r>
        <w:rPr/>
        <w:t>of</w:t>
      </w:r>
      <w:r>
        <w:rPr>
          <w:spacing w:val="-4"/>
        </w:rPr>
        <w:t> </w:t>
      </w:r>
      <w:r>
        <w:rPr/>
        <w:t>the</w:t>
      </w:r>
      <w:r>
        <w:rPr>
          <w:spacing w:val="-2"/>
        </w:rPr>
        <w:t> </w:t>
      </w:r>
      <w:r>
        <w:rPr/>
        <w:t>fines</w:t>
      </w:r>
      <w:r>
        <w:rPr>
          <w:spacing w:val="-1"/>
        </w:rPr>
        <w:t> </w:t>
      </w:r>
      <w:r>
        <w:rPr/>
        <w:t>by</w:t>
      </w:r>
      <w:r>
        <w:rPr>
          <w:spacing w:val="-2"/>
        </w:rPr>
        <w:t> </w:t>
      </w:r>
      <w:r>
        <w:rPr/>
        <w:t>reducing</w:t>
      </w:r>
      <w:r>
        <w:rPr>
          <w:spacing w:val="-2"/>
        </w:rPr>
        <w:t> </w:t>
      </w:r>
      <w:r>
        <w:rPr/>
        <w:t>the</w:t>
      </w:r>
      <w:r>
        <w:rPr>
          <w:spacing w:val="-2"/>
        </w:rPr>
        <w:t> </w:t>
      </w:r>
      <w:r>
        <w:rPr/>
        <w:t>fines</w:t>
      </w:r>
      <w:r>
        <w:rPr>
          <w:spacing w:val="-4"/>
        </w:rPr>
        <w:t> </w:t>
      </w:r>
      <w:r>
        <w:rPr/>
        <w:t>to</w:t>
      </w:r>
      <w:r>
        <w:rPr>
          <w:spacing w:val="-2"/>
        </w:rPr>
        <w:t> </w:t>
      </w:r>
      <w:r>
        <w:rPr/>
        <w:t>7</w:t>
      </w:r>
      <w:r>
        <w:rPr>
          <w:spacing w:val="-3"/>
        </w:rPr>
        <w:t> </w:t>
      </w:r>
      <w:r>
        <w:rPr/>
        <w:t>days</w:t>
      </w:r>
      <w:r>
        <w:rPr>
          <w:spacing w:val="-2"/>
        </w:rPr>
        <w:t> </w:t>
      </w:r>
      <w:r>
        <w:rPr/>
        <w:t>if</w:t>
      </w:r>
      <w:r>
        <w:rPr>
          <w:spacing w:val="-2"/>
        </w:rPr>
        <w:t> </w:t>
      </w:r>
      <w:r>
        <w:rPr/>
        <w:t>the</w:t>
      </w:r>
      <w:r>
        <w:rPr>
          <w:spacing w:val="-4"/>
        </w:rPr>
        <w:t> </w:t>
      </w:r>
      <w:r>
        <w:rPr/>
        <w:t>following</w:t>
      </w:r>
      <w:r>
        <w:rPr>
          <w:spacing w:val="-2"/>
        </w:rPr>
        <w:t> </w:t>
      </w:r>
      <w:r>
        <w:rPr/>
        <w:t>conditions are met:</w:t>
      </w:r>
    </w:p>
    <w:p>
      <w:pPr>
        <w:pStyle w:val="ListParagraph"/>
        <w:numPr>
          <w:ilvl w:val="0"/>
          <w:numId w:val="1"/>
        </w:numPr>
        <w:tabs>
          <w:tab w:pos="792" w:val="left" w:leader="none"/>
        </w:tabs>
        <w:spacing w:line="294" w:lineRule="exact" w:before="0" w:after="0"/>
        <w:ind w:left="792" w:right="0" w:hanging="360"/>
        <w:jc w:val="left"/>
        <w:rPr>
          <w:sz w:val="24"/>
        </w:rPr>
      </w:pPr>
      <w:r>
        <w:rPr>
          <w:sz w:val="24"/>
        </w:rPr>
        <w:t>A</w:t>
      </w:r>
      <w:r>
        <w:rPr>
          <w:spacing w:val="-5"/>
          <w:sz w:val="24"/>
        </w:rPr>
        <w:t> </w:t>
      </w:r>
      <w:r>
        <w:rPr>
          <w:sz w:val="24"/>
        </w:rPr>
        <w:t>septic</w:t>
      </w:r>
      <w:r>
        <w:rPr>
          <w:spacing w:val="-5"/>
          <w:sz w:val="24"/>
        </w:rPr>
        <w:t> </w:t>
      </w:r>
      <w:r>
        <w:rPr>
          <w:sz w:val="24"/>
        </w:rPr>
        <w:t>design</w:t>
      </w:r>
      <w:r>
        <w:rPr>
          <w:spacing w:val="-2"/>
          <w:sz w:val="24"/>
        </w:rPr>
        <w:t> </w:t>
      </w:r>
      <w:r>
        <w:rPr>
          <w:sz w:val="24"/>
        </w:rPr>
        <w:t>developed</w:t>
      </w:r>
      <w:r>
        <w:rPr>
          <w:spacing w:val="-5"/>
          <w:sz w:val="24"/>
        </w:rPr>
        <w:t> </w:t>
      </w:r>
      <w:r>
        <w:rPr>
          <w:sz w:val="24"/>
        </w:rPr>
        <w:t>by</w:t>
      </w:r>
      <w:r>
        <w:rPr>
          <w:spacing w:val="-2"/>
          <w:sz w:val="24"/>
        </w:rPr>
        <w:t> </w:t>
      </w:r>
      <w:r>
        <w:rPr>
          <w:sz w:val="24"/>
        </w:rPr>
        <w:t>a</w:t>
      </w:r>
      <w:r>
        <w:rPr>
          <w:spacing w:val="-4"/>
          <w:sz w:val="24"/>
        </w:rPr>
        <w:t> </w:t>
      </w:r>
      <w:r>
        <w:rPr>
          <w:sz w:val="24"/>
        </w:rPr>
        <w:t>licensed</w:t>
      </w:r>
      <w:r>
        <w:rPr>
          <w:spacing w:val="-3"/>
          <w:sz w:val="24"/>
        </w:rPr>
        <w:t> </w:t>
      </w:r>
      <w:r>
        <w:rPr>
          <w:sz w:val="24"/>
        </w:rPr>
        <w:t>septic</w:t>
      </w:r>
      <w:r>
        <w:rPr>
          <w:spacing w:val="-2"/>
          <w:sz w:val="24"/>
        </w:rPr>
        <w:t> </w:t>
      </w:r>
      <w:r>
        <w:rPr>
          <w:sz w:val="24"/>
        </w:rPr>
        <w:t>designer</w:t>
      </w:r>
      <w:r>
        <w:rPr>
          <w:spacing w:val="-3"/>
          <w:sz w:val="24"/>
        </w:rPr>
        <w:t> </w:t>
      </w:r>
      <w:r>
        <w:rPr>
          <w:sz w:val="24"/>
        </w:rPr>
        <w:t>be</w:t>
      </w:r>
      <w:r>
        <w:rPr>
          <w:spacing w:val="-2"/>
          <w:sz w:val="24"/>
        </w:rPr>
        <w:t> developed.</w:t>
      </w:r>
    </w:p>
    <w:p>
      <w:pPr>
        <w:pStyle w:val="ListParagraph"/>
        <w:numPr>
          <w:ilvl w:val="0"/>
          <w:numId w:val="1"/>
        </w:numPr>
        <w:tabs>
          <w:tab w:pos="792" w:val="left" w:leader="none"/>
        </w:tabs>
        <w:spacing w:line="254" w:lineRule="auto" w:before="20" w:after="0"/>
        <w:ind w:left="792" w:right="1131" w:hanging="360"/>
        <w:jc w:val="left"/>
        <w:rPr>
          <w:sz w:val="24"/>
        </w:rPr>
      </w:pPr>
      <w:r>
        <w:rPr>
          <w:sz w:val="24"/>
        </w:rPr>
        <w:t>The</w:t>
      </w:r>
      <w:r>
        <w:rPr>
          <w:spacing w:val="-3"/>
          <w:sz w:val="24"/>
        </w:rPr>
        <w:t> </w:t>
      </w:r>
      <w:r>
        <w:rPr>
          <w:sz w:val="24"/>
        </w:rPr>
        <w:t>design</w:t>
      </w:r>
      <w:r>
        <w:rPr>
          <w:spacing w:val="-4"/>
          <w:sz w:val="24"/>
        </w:rPr>
        <w:t> </w:t>
      </w:r>
      <w:r>
        <w:rPr>
          <w:sz w:val="24"/>
        </w:rPr>
        <w:t>developed</w:t>
      </w:r>
      <w:r>
        <w:rPr>
          <w:spacing w:val="-5"/>
          <w:sz w:val="24"/>
        </w:rPr>
        <w:t> </w:t>
      </w:r>
      <w:r>
        <w:rPr>
          <w:sz w:val="24"/>
        </w:rPr>
        <w:t>be</w:t>
      </w:r>
      <w:r>
        <w:rPr>
          <w:spacing w:val="-3"/>
          <w:sz w:val="24"/>
        </w:rPr>
        <w:t> </w:t>
      </w:r>
      <w:r>
        <w:rPr>
          <w:sz w:val="24"/>
        </w:rPr>
        <w:t>submitted</w:t>
      </w:r>
      <w:r>
        <w:rPr>
          <w:spacing w:val="-5"/>
          <w:sz w:val="24"/>
        </w:rPr>
        <w:t> </w:t>
      </w:r>
      <w:r>
        <w:rPr>
          <w:sz w:val="24"/>
        </w:rPr>
        <w:t>as</w:t>
      </w:r>
      <w:r>
        <w:rPr>
          <w:spacing w:val="-5"/>
          <w:sz w:val="24"/>
        </w:rPr>
        <w:t> </w:t>
      </w:r>
      <w:r>
        <w:rPr>
          <w:sz w:val="24"/>
        </w:rPr>
        <w:t>a</w:t>
      </w:r>
      <w:r>
        <w:rPr>
          <w:spacing w:val="-3"/>
          <w:sz w:val="24"/>
        </w:rPr>
        <w:t> </w:t>
      </w:r>
      <w:r>
        <w:rPr>
          <w:sz w:val="24"/>
        </w:rPr>
        <w:t>SEPTIC</w:t>
      </w:r>
      <w:r>
        <w:rPr>
          <w:spacing w:val="-3"/>
          <w:sz w:val="24"/>
        </w:rPr>
        <w:t> </w:t>
      </w:r>
      <w:r>
        <w:rPr>
          <w:sz w:val="24"/>
        </w:rPr>
        <w:t>permit and</w:t>
      </w:r>
      <w:r>
        <w:rPr>
          <w:spacing w:val="-3"/>
          <w:sz w:val="24"/>
        </w:rPr>
        <w:t> </w:t>
      </w:r>
      <w:r>
        <w:rPr>
          <w:sz w:val="24"/>
        </w:rPr>
        <w:t>permit</w:t>
      </w:r>
      <w:r>
        <w:rPr>
          <w:spacing w:val="-3"/>
          <w:sz w:val="24"/>
        </w:rPr>
        <w:t> </w:t>
      </w:r>
      <w:r>
        <w:rPr>
          <w:sz w:val="24"/>
        </w:rPr>
        <w:t>fees</w:t>
      </w:r>
      <w:r>
        <w:rPr>
          <w:spacing w:val="-3"/>
          <w:sz w:val="24"/>
        </w:rPr>
        <w:t> </w:t>
      </w:r>
      <w:r>
        <w:rPr>
          <w:sz w:val="24"/>
        </w:rPr>
        <w:t>be</w:t>
      </w:r>
      <w:r>
        <w:rPr>
          <w:spacing w:val="-3"/>
          <w:sz w:val="24"/>
        </w:rPr>
        <w:t> </w:t>
      </w:r>
      <w:r>
        <w:rPr>
          <w:sz w:val="24"/>
        </w:rPr>
        <w:t>paid</w:t>
      </w:r>
      <w:r>
        <w:rPr>
          <w:spacing w:val="-3"/>
          <w:sz w:val="24"/>
        </w:rPr>
        <w:t> </w:t>
      </w:r>
      <w:r>
        <w:rPr>
          <w:sz w:val="24"/>
        </w:rPr>
        <w:t>for</w:t>
      </w:r>
      <w:r>
        <w:rPr>
          <w:spacing w:val="-3"/>
          <w:sz w:val="24"/>
        </w:rPr>
        <w:t> </w:t>
      </w:r>
      <w:r>
        <w:rPr>
          <w:sz w:val="24"/>
        </w:rPr>
        <w:t>by September 19, 2025.</w:t>
      </w:r>
    </w:p>
    <w:p>
      <w:pPr>
        <w:pStyle w:val="ListParagraph"/>
        <w:numPr>
          <w:ilvl w:val="0"/>
          <w:numId w:val="1"/>
        </w:numPr>
        <w:tabs>
          <w:tab w:pos="792" w:val="left" w:leader="none"/>
        </w:tabs>
        <w:spacing w:line="254" w:lineRule="auto" w:before="9" w:after="0"/>
        <w:ind w:left="792" w:right="796" w:hanging="360"/>
        <w:jc w:val="left"/>
        <w:rPr>
          <w:sz w:val="24"/>
        </w:rPr>
      </w:pPr>
      <w:r>
        <w:rPr>
          <w:sz w:val="24"/>
        </w:rPr>
        <w:t>Any</w:t>
      </w:r>
      <w:r>
        <w:rPr>
          <w:spacing w:val="-3"/>
          <w:sz w:val="24"/>
        </w:rPr>
        <w:t> </w:t>
      </w:r>
      <w:r>
        <w:rPr>
          <w:sz w:val="24"/>
        </w:rPr>
        <w:t>upgrades</w:t>
      </w:r>
      <w:r>
        <w:rPr>
          <w:spacing w:val="-3"/>
          <w:sz w:val="24"/>
        </w:rPr>
        <w:t> </w:t>
      </w:r>
      <w:r>
        <w:rPr>
          <w:sz w:val="24"/>
        </w:rPr>
        <w:t>identified</w:t>
      </w:r>
      <w:r>
        <w:rPr>
          <w:spacing w:val="-3"/>
          <w:sz w:val="24"/>
        </w:rPr>
        <w:t> </w:t>
      </w:r>
      <w:r>
        <w:rPr>
          <w:sz w:val="24"/>
        </w:rPr>
        <w:t>in</w:t>
      </w:r>
      <w:r>
        <w:rPr>
          <w:spacing w:val="-3"/>
          <w:sz w:val="24"/>
        </w:rPr>
        <w:t> </w:t>
      </w:r>
      <w:r>
        <w:rPr>
          <w:sz w:val="24"/>
        </w:rPr>
        <w:t>the</w:t>
      </w:r>
      <w:r>
        <w:rPr>
          <w:spacing w:val="-1"/>
          <w:sz w:val="24"/>
        </w:rPr>
        <w:t> </w:t>
      </w:r>
      <w:r>
        <w:rPr>
          <w:sz w:val="24"/>
        </w:rPr>
        <w:t>approved</w:t>
      </w:r>
      <w:r>
        <w:rPr>
          <w:spacing w:val="-1"/>
          <w:sz w:val="24"/>
        </w:rPr>
        <w:t> </w:t>
      </w:r>
      <w:r>
        <w:rPr>
          <w:sz w:val="24"/>
        </w:rPr>
        <w:t>septic</w:t>
      </w:r>
      <w:r>
        <w:rPr>
          <w:spacing w:val="-3"/>
          <w:sz w:val="24"/>
        </w:rPr>
        <w:t> </w:t>
      </w:r>
      <w:r>
        <w:rPr>
          <w:sz w:val="24"/>
        </w:rPr>
        <w:t>design</w:t>
      </w:r>
      <w:r>
        <w:rPr>
          <w:spacing w:val="-3"/>
          <w:sz w:val="24"/>
        </w:rPr>
        <w:t> </w:t>
      </w:r>
      <w:r>
        <w:rPr>
          <w:sz w:val="24"/>
        </w:rPr>
        <w:t>be</w:t>
      </w:r>
      <w:r>
        <w:rPr>
          <w:spacing w:val="-5"/>
          <w:sz w:val="24"/>
        </w:rPr>
        <w:t> </w:t>
      </w:r>
      <w:r>
        <w:rPr>
          <w:sz w:val="24"/>
        </w:rPr>
        <w:t>installed</w:t>
      </w:r>
      <w:r>
        <w:rPr>
          <w:spacing w:val="-3"/>
          <w:sz w:val="24"/>
        </w:rPr>
        <w:t> </w:t>
      </w:r>
      <w:r>
        <w:rPr>
          <w:sz w:val="24"/>
        </w:rPr>
        <w:t>within 30</w:t>
      </w:r>
      <w:r>
        <w:rPr>
          <w:spacing w:val="-2"/>
          <w:sz w:val="24"/>
        </w:rPr>
        <w:t> </w:t>
      </w:r>
      <w:r>
        <w:rPr>
          <w:sz w:val="24"/>
        </w:rPr>
        <w:t>days</w:t>
      </w:r>
      <w:r>
        <w:rPr>
          <w:spacing w:val="-6"/>
          <w:sz w:val="24"/>
        </w:rPr>
        <w:t> </w:t>
      </w:r>
      <w:r>
        <w:rPr>
          <w:sz w:val="24"/>
        </w:rPr>
        <w:t>of</w:t>
      </w:r>
      <w:r>
        <w:rPr>
          <w:spacing w:val="-5"/>
          <w:sz w:val="24"/>
        </w:rPr>
        <w:t> </w:t>
      </w:r>
      <w:r>
        <w:rPr>
          <w:sz w:val="24"/>
        </w:rPr>
        <w:t>permit </w:t>
      </w:r>
      <w:r>
        <w:rPr>
          <w:spacing w:val="-2"/>
          <w:sz w:val="24"/>
        </w:rPr>
        <w:t>issuance.</w:t>
      </w:r>
    </w:p>
    <w:p>
      <w:pPr>
        <w:pStyle w:val="ListParagraph"/>
        <w:numPr>
          <w:ilvl w:val="0"/>
          <w:numId w:val="1"/>
        </w:numPr>
        <w:tabs>
          <w:tab w:pos="792" w:val="left" w:leader="none"/>
        </w:tabs>
        <w:spacing w:line="256" w:lineRule="auto" w:before="5" w:after="0"/>
        <w:ind w:left="792" w:right="866" w:hanging="360"/>
        <w:jc w:val="left"/>
        <w:rPr>
          <w:sz w:val="24"/>
        </w:rPr>
      </w:pPr>
      <w:r>
        <w:rPr>
          <w:sz w:val="24"/>
        </w:rPr>
        <w:t>An</w:t>
      </w:r>
      <w:r>
        <w:rPr>
          <w:spacing w:val="-3"/>
          <w:sz w:val="24"/>
        </w:rPr>
        <w:t> </w:t>
      </w:r>
      <w:r>
        <w:rPr>
          <w:sz w:val="24"/>
        </w:rPr>
        <w:t>as-built</w:t>
      </w:r>
      <w:r>
        <w:rPr>
          <w:spacing w:val="-3"/>
          <w:sz w:val="24"/>
        </w:rPr>
        <w:t> </w:t>
      </w:r>
      <w:r>
        <w:rPr>
          <w:sz w:val="24"/>
        </w:rPr>
        <w:t>record</w:t>
      </w:r>
      <w:r>
        <w:rPr>
          <w:spacing w:val="-5"/>
          <w:sz w:val="24"/>
        </w:rPr>
        <w:t> </w:t>
      </w:r>
      <w:r>
        <w:rPr>
          <w:sz w:val="24"/>
        </w:rPr>
        <w:t>drawing</w:t>
      </w:r>
      <w:r>
        <w:rPr>
          <w:spacing w:val="-3"/>
          <w:sz w:val="24"/>
        </w:rPr>
        <w:t> </w:t>
      </w:r>
      <w:r>
        <w:rPr>
          <w:sz w:val="24"/>
        </w:rPr>
        <w:t>for</w:t>
      </w:r>
      <w:r>
        <w:rPr>
          <w:spacing w:val="-3"/>
          <w:sz w:val="24"/>
        </w:rPr>
        <w:t> </w:t>
      </w:r>
      <w:r>
        <w:rPr>
          <w:sz w:val="24"/>
        </w:rPr>
        <w:t>the completed,</w:t>
      </w:r>
      <w:r>
        <w:rPr>
          <w:spacing w:val="-3"/>
          <w:sz w:val="24"/>
        </w:rPr>
        <w:t> </w:t>
      </w:r>
      <w:r>
        <w:rPr>
          <w:sz w:val="24"/>
        </w:rPr>
        <w:t>permitted</w:t>
      </w:r>
      <w:r>
        <w:rPr>
          <w:spacing w:val="-1"/>
          <w:sz w:val="24"/>
        </w:rPr>
        <w:t> </w:t>
      </w:r>
      <w:r>
        <w:rPr>
          <w:sz w:val="24"/>
        </w:rPr>
        <w:t>installation</w:t>
      </w:r>
      <w:r>
        <w:rPr>
          <w:spacing w:val="-5"/>
          <w:sz w:val="24"/>
        </w:rPr>
        <w:t> </w:t>
      </w:r>
      <w:r>
        <w:rPr>
          <w:sz w:val="24"/>
        </w:rPr>
        <w:t>be</w:t>
      </w:r>
      <w:r>
        <w:rPr>
          <w:spacing w:val="-3"/>
          <w:sz w:val="24"/>
        </w:rPr>
        <w:t> </w:t>
      </w:r>
      <w:r>
        <w:rPr>
          <w:sz w:val="24"/>
        </w:rPr>
        <w:t>submitted</w:t>
      </w:r>
      <w:r>
        <w:rPr>
          <w:spacing w:val="-5"/>
          <w:sz w:val="24"/>
        </w:rPr>
        <w:t> </w:t>
      </w:r>
      <w:r>
        <w:rPr>
          <w:sz w:val="24"/>
        </w:rPr>
        <w:t>within</w:t>
      </w:r>
      <w:r>
        <w:rPr>
          <w:spacing w:val="-5"/>
          <w:sz w:val="24"/>
        </w:rPr>
        <w:t> </w:t>
      </w:r>
      <w:r>
        <w:rPr>
          <w:sz w:val="24"/>
        </w:rPr>
        <w:t>30 days of the final construction inspection.</w:t>
      </w:r>
    </w:p>
    <w:p>
      <w:pPr>
        <w:pStyle w:val="BodyText"/>
        <w:spacing w:before="23"/>
      </w:pPr>
    </w:p>
    <w:p>
      <w:pPr>
        <w:pStyle w:val="BodyText"/>
      </w:pPr>
      <w:r>
        <w:rPr>
          <w:spacing w:val="-2"/>
          <w:u w:val="single"/>
        </w:rPr>
        <w:t>Attachments:</w:t>
      </w:r>
    </w:p>
    <w:p>
      <w:pPr>
        <w:pStyle w:val="BodyText"/>
        <w:spacing w:before="46"/>
      </w:pPr>
    </w:p>
    <w:p>
      <w:pPr>
        <w:pStyle w:val="BodyText"/>
      </w:pPr>
      <w:r>
        <w:rPr/>
        <w:t>Pumping</w:t>
      </w:r>
      <w:r>
        <w:rPr>
          <w:spacing w:val="-3"/>
        </w:rPr>
        <w:t> </w:t>
      </w:r>
      <w:r>
        <w:rPr/>
        <w:t>Report</w:t>
      </w:r>
      <w:r>
        <w:rPr>
          <w:spacing w:val="-2"/>
        </w:rPr>
        <w:t> </w:t>
      </w:r>
      <w:r>
        <w:rPr/>
        <w:t>– May</w:t>
      </w:r>
      <w:r>
        <w:rPr>
          <w:spacing w:val="-4"/>
        </w:rPr>
        <w:t> 2024</w:t>
      </w:r>
    </w:p>
    <w:p>
      <w:pPr>
        <w:pStyle w:val="BodyText"/>
        <w:spacing w:line="259" w:lineRule="auto" w:before="21"/>
        <w:ind w:right="6862"/>
      </w:pPr>
      <w:r>
        <w:rPr/>
        <w:t>Notice of Deficiency letter – July 2024 Pumping Report – August 2024 Notification</w:t>
      </w:r>
      <w:r>
        <w:rPr>
          <w:spacing w:val="-8"/>
        </w:rPr>
        <w:t> </w:t>
      </w:r>
      <w:r>
        <w:rPr/>
        <w:t>of</w:t>
      </w:r>
      <w:r>
        <w:rPr>
          <w:spacing w:val="-7"/>
        </w:rPr>
        <w:t> </w:t>
      </w:r>
      <w:r>
        <w:rPr/>
        <w:t>Failure</w:t>
      </w:r>
      <w:r>
        <w:rPr>
          <w:spacing w:val="-6"/>
        </w:rPr>
        <w:t> </w:t>
      </w:r>
      <w:r>
        <w:rPr/>
        <w:t>–</w:t>
      </w:r>
      <w:r>
        <w:rPr>
          <w:spacing w:val="-8"/>
        </w:rPr>
        <w:t> </w:t>
      </w:r>
      <w:r>
        <w:rPr/>
        <w:t>September</w:t>
      </w:r>
      <w:r>
        <w:rPr>
          <w:spacing w:val="-10"/>
        </w:rPr>
        <w:t> </w:t>
      </w:r>
      <w:r>
        <w:rPr/>
        <w:t>2024 Follow-up Report – October 2024 Notification</w:t>
      </w:r>
      <w:r>
        <w:rPr>
          <w:spacing w:val="-3"/>
        </w:rPr>
        <w:t> </w:t>
      </w:r>
      <w:r>
        <w:rPr/>
        <w:t>of</w:t>
      </w:r>
      <w:r>
        <w:rPr>
          <w:spacing w:val="-4"/>
        </w:rPr>
        <w:t> </w:t>
      </w:r>
      <w:r>
        <w:rPr/>
        <w:t>Violation</w:t>
      </w:r>
      <w:r>
        <w:rPr>
          <w:spacing w:val="-2"/>
        </w:rPr>
        <w:t> </w:t>
      </w:r>
      <w:r>
        <w:rPr/>
        <w:t>–</w:t>
      </w:r>
      <w:r>
        <w:rPr>
          <w:spacing w:val="-1"/>
        </w:rPr>
        <w:t> </w:t>
      </w:r>
      <w:r>
        <w:rPr/>
        <w:t>February</w:t>
      </w:r>
      <w:r>
        <w:rPr>
          <w:spacing w:val="-2"/>
        </w:rPr>
        <w:t> </w:t>
      </w:r>
      <w:r>
        <w:rPr/>
        <w:t>2025</w:t>
      </w:r>
    </w:p>
    <w:p>
      <w:pPr>
        <w:pStyle w:val="BodyText"/>
        <w:spacing w:line="274" w:lineRule="exact"/>
      </w:pPr>
      <w:r>
        <w:rPr/>
        <w:t>Notification</w:t>
      </w:r>
      <w:r>
        <w:rPr>
          <w:spacing w:val="-4"/>
        </w:rPr>
        <w:t> </w:t>
      </w:r>
      <w:r>
        <w:rPr/>
        <w:t>of</w:t>
      </w:r>
      <w:r>
        <w:rPr>
          <w:spacing w:val="-2"/>
        </w:rPr>
        <w:t> </w:t>
      </w:r>
      <w:r>
        <w:rPr/>
        <w:t>Fine</w:t>
      </w:r>
      <w:r>
        <w:rPr>
          <w:spacing w:val="-1"/>
        </w:rPr>
        <w:t> </w:t>
      </w:r>
      <w:r>
        <w:rPr/>
        <w:t>Accumulation</w:t>
      </w:r>
      <w:r>
        <w:rPr>
          <w:spacing w:val="-1"/>
        </w:rPr>
        <w:t> </w:t>
      </w:r>
      <w:r>
        <w:rPr/>
        <w:t>–</w:t>
      </w:r>
      <w:r>
        <w:rPr>
          <w:spacing w:val="-1"/>
        </w:rPr>
        <w:t> </w:t>
      </w:r>
      <w:r>
        <w:rPr/>
        <w:t>May</w:t>
      </w:r>
      <w:r>
        <w:rPr>
          <w:spacing w:val="-4"/>
        </w:rPr>
        <w:t> 2025</w:t>
      </w:r>
    </w:p>
    <w:p>
      <w:pPr>
        <w:pStyle w:val="BodyText"/>
        <w:spacing w:before="22"/>
      </w:pPr>
      <w:r>
        <w:rPr/>
        <w:t>Appeal</w:t>
      </w:r>
      <w:r>
        <w:rPr>
          <w:spacing w:val="-3"/>
        </w:rPr>
        <w:t> </w:t>
      </w:r>
      <w:r>
        <w:rPr/>
        <w:t>Fine</w:t>
      </w:r>
      <w:r>
        <w:rPr>
          <w:spacing w:val="-4"/>
        </w:rPr>
        <w:t> </w:t>
      </w:r>
      <w:r>
        <w:rPr/>
        <w:t>for</w:t>
      </w:r>
      <w:r>
        <w:rPr>
          <w:spacing w:val="-3"/>
        </w:rPr>
        <w:t> </w:t>
      </w:r>
      <w:r>
        <w:rPr/>
        <w:t>Violation</w:t>
      </w:r>
      <w:r>
        <w:rPr>
          <w:spacing w:val="-2"/>
        </w:rPr>
        <w:t> </w:t>
      </w:r>
      <w:r>
        <w:rPr/>
        <w:t>of</w:t>
      </w:r>
      <w:r>
        <w:rPr>
          <w:spacing w:val="-2"/>
        </w:rPr>
        <w:t> </w:t>
      </w:r>
      <w:r>
        <w:rPr/>
        <w:t>Skagit</w:t>
      </w:r>
      <w:r>
        <w:rPr>
          <w:spacing w:val="-3"/>
        </w:rPr>
        <w:t> </w:t>
      </w:r>
      <w:r>
        <w:rPr/>
        <w:t>County</w:t>
      </w:r>
      <w:r>
        <w:rPr>
          <w:spacing w:val="-2"/>
        </w:rPr>
        <w:t> </w:t>
      </w:r>
      <w:r>
        <w:rPr/>
        <w:t>Code</w:t>
      </w:r>
      <w:r>
        <w:rPr>
          <w:spacing w:val="1"/>
        </w:rPr>
        <w:t> </w:t>
      </w:r>
      <w:r>
        <w:rPr/>
        <w:t>–</w:t>
      </w:r>
      <w:r>
        <w:rPr>
          <w:spacing w:val="-1"/>
        </w:rPr>
        <w:t> </w:t>
      </w:r>
      <w:r>
        <w:rPr/>
        <w:t>May</w:t>
      </w:r>
      <w:r>
        <w:rPr>
          <w:spacing w:val="-4"/>
        </w:rPr>
        <w:t> 2025</w:t>
      </w:r>
    </w:p>
    <w:sectPr>
      <w:pgSz w:w="12240" w:h="15840"/>
      <w:pgMar w:header="0" w:footer="1281" w:top="1520" w:bottom="1480" w:left="720" w:right="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Baskerville Old Face">
    <w:altName w:val="Baskerville Old Face"/>
    <w:charset w:val="0"/>
    <w:family w:val="roman"/>
    <w:pitch w:val="variable"/>
  </w:font>
  <w:font w:name="Calibri">
    <w:altName w:val="Calibri"/>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33568">
              <wp:simplePos x="0" y="0"/>
              <wp:positionH relativeFrom="page">
                <wp:posOffset>2750947</wp:posOffset>
              </wp:positionH>
              <wp:positionV relativeFrom="page">
                <wp:posOffset>9105086</wp:posOffset>
              </wp:positionV>
              <wp:extent cx="1868170"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868170" cy="165735"/>
                      </a:xfrm>
                      <a:prstGeom prst="rect">
                        <a:avLst/>
                      </a:prstGeom>
                    </wps:spPr>
                    <wps:txbx>
                      <w:txbxContent>
                        <w:p>
                          <w:pPr>
                            <w:spacing w:line="245" w:lineRule="exact" w:before="0"/>
                            <w:ind w:left="20" w:right="0" w:firstLine="0"/>
                            <w:jc w:val="left"/>
                            <w:rPr>
                              <w:rFonts w:ascii="Calibri"/>
                              <w:sz w:val="22"/>
                            </w:rPr>
                          </w:pPr>
                          <w:r>
                            <w:rPr>
                              <w:rFonts w:ascii="Calibri"/>
                              <w:sz w:val="22"/>
                            </w:rPr>
                            <w:t>SKAGIT</w:t>
                          </w:r>
                          <w:r>
                            <w:rPr>
                              <w:rFonts w:ascii="Calibri"/>
                              <w:spacing w:val="-5"/>
                              <w:sz w:val="22"/>
                            </w:rPr>
                            <w:t> </w:t>
                          </w:r>
                          <w:r>
                            <w:rPr>
                              <w:rFonts w:ascii="Calibri"/>
                              <w:sz w:val="22"/>
                            </w:rPr>
                            <w:t>COUNTY</w:t>
                          </w:r>
                          <w:r>
                            <w:rPr>
                              <w:rFonts w:ascii="Calibri"/>
                              <w:spacing w:val="-7"/>
                              <w:sz w:val="22"/>
                            </w:rPr>
                            <w:t> </w:t>
                          </w:r>
                          <w:r>
                            <w:rPr>
                              <w:rFonts w:ascii="Calibri"/>
                              <w:sz w:val="22"/>
                            </w:rPr>
                            <w:t>PUBLIC</w:t>
                          </w:r>
                          <w:r>
                            <w:rPr>
                              <w:rFonts w:ascii="Calibri"/>
                              <w:spacing w:val="-4"/>
                              <w:sz w:val="22"/>
                            </w:rPr>
                            <w:t> </w:t>
                          </w:r>
                          <w:r>
                            <w:rPr>
                              <w:rFonts w:ascii="Calibri"/>
                              <w:spacing w:val="-2"/>
                              <w:sz w:val="22"/>
                            </w:rPr>
                            <w:t>HEALTH</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16.610001pt;margin-top:716.935974pt;width:147.1pt;height:13.05pt;mso-position-horizontal-relative:page;mso-position-vertical-relative:page;z-index:-15782912" type="#_x0000_t202" id="docshape1" filled="false" stroked="false">
              <v:textbox inset="0,0,0,0">
                <w:txbxContent>
                  <w:p>
                    <w:pPr>
                      <w:spacing w:line="245" w:lineRule="exact" w:before="0"/>
                      <w:ind w:left="20" w:right="0" w:firstLine="0"/>
                      <w:jc w:val="left"/>
                      <w:rPr>
                        <w:rFonts w:ascii="Calibri"/>
                        <w:sz w:val="22"/>
                      </w:rPr>
                    </w:pPr>
                    <w:r>
                      <w:rPr>
                        <w:rFonts w:ascii="Calibri"/>
                        <w:sz w:val="22"/>
                      </w:rPr>
                      <w:t>SKAGIT</w:t>
                    </w:r>
                    <w:r>
                      <w:rPr>
                        <w:rFonts w:ascii="Calibri"/>
                        <w:spacing w:val="-5"/>
                        <w:sz w:val="22"/>
                      </w:rPr>
                      <w:t> </w:t>
                    </w:r>
                    <w:r>
                      <w:rPr>
                        <w:rFonts w:ascii="Calibri"/>
                        <w:sz w:val="22"/>
                      </w:rPr>
                      <w:t>COUNTY</w:t>
                    </w:r>
                    <w:r>
                      <w:rPr>
                        <w:rFonts w:ascii="Calibri"/>
                        <w:spacing w:val="-7"/>
                        <w:sz w:val="22"/>
                      </w:rPr>
                      <w:t> </w:t>
                    </w:r>
                    <w:r>
                      <w:rPr>
                        <w:rFonts w:ascii="Calibri"/>
                        <w:sz w:val="22"/>
                      </w:rPr>
                      <w:t>PUBLIC</w:t>
                    </w:r>
                    <w:r>
                      <w:rPr>
                        <w:rFonts w:ascii="Calibri"/>
                        <w:spacing w:val="-4"/>
                        <w:sz w:val="22"/>
                      </w:rPr>
                      <w:t> </w:t>
                    </w:r>
                    <w:r>
                      <w:rPr>
                        <w:rFonts w:ascii="Calibri"/>
                        <w:spacing w:val="-2"/>
                        <w:sz w:val="22"/>
                      </w:rPr>
                      <w:t>HEALTH</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34080">
              <wp:simplePos x="0" y="0"/>
              <wp:positionH relativeFrom="page">
                <wp:posOffset>950772</wp:posOffset>
              </wp:positionH>
              <wp:positionV relativeFrom="page">
                <wp:posOffset>9276080</wp:posOffset>
              </wp:positionV>
              <wp:extent cx="3397250" cy="16573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3397250" cy="165735"/>
                      </a:xfrm>
                      <a:prstGeom prst="rect">
                        <a:avLst/>
                      </a:prstGeom>
                    </wps:spPr>
                    <wps:txbx>
                      <w:txbxContent>
                        <w:p>
                          <w:pPr>
                            <w:spacing w:line="245" w:lineRule="exact" w:before="0"/>
                            <w:ind w:left="20" w:right="0" w:firstLine="0"/>
                            <w:jc w:val="left"/>
                            <w:rPr>
                              <w:rFonts w:ascii="Calibri"/>
                              <w:sz w:val="22"/>
                            </w:rPr>
                          </w:pPr>
                          <w:r>
                            <w:rPr>
                              <w:rFonts w:ascii="Calibri"/>
                              <w:sz w:val="22"/>
                            </w:rPr>
                            <w:t>301</w:t>
                          </w:r>
                          <w:r>
                            <w:rPr>
                              <w:rFonts w:ascii="Calibri"/>
                              <w:spacing w:val="-3"/>
                              <w:sz w:val="22"/>
                            </w:rPr>
                            <w:t> </w:t>
                          </w:r>
                          <w:r>
                            <w:rPr>
                              <w:rFonts w:ascii="Calibri"/>
                              <w:sz w:val="22"/>
                            </w:rPr>
                            <w:t>Valley</w:t>
                          </w:r>
                          <w:r>
                            <w:rPr>
                              <w:rFonts w:ascii="Calibri"/>
                              <w:spacing w:val="-3"/>
                              <w:sz w:val="22"/>
                            </w:rPr>
                            <w:t> </w:t>
                          </w:r>
                          <w:r>
                            <w:rPr>
                              <w:rFonts w:ascii="Calibri"/>
                              <w:sz w:val="22"/>
                            </w:rPr>
                            <w:t>Mall</w:t>
                          </w:r>
                          <w:r>
                            <w:rPr>
                              <w:rFonts w:ascii="Calibri"/>
                              <w:spacing w:val="-4"/>
                              <w:sz w:val="22"/>
                            </w:rPr>
                            <w:t> </w:t>
                          </w:r>
                          <w:r>
                            <w:rPr>
                              <w:rFonts w:ascii="Calibri"/>
                              <w:sz w:val="22"/>
                            </w:rPr>
                            <w:t>Way,</w:t>
                          </w:r>
                          <w:r>
                            <w:rPr>
                              <w:rFonts w:ascii="Calibri"/>
                              <w:spacing w:val="-1"/>
                              <w:sz w:val="22"/>
                            </w:rPr>
                            <w:t> </w:t>
                          </w:r>
                          <w:r>
                            <w:rPr>
                              <w:rFonts w:ascii="Calibri"/>
                              <w:sz w:val="22"/>
                            </w:rPr>
                            <w:t>Suite</w:t>
                          </w:r>
                          <w:r>
                            <w:rPr>
                              <w:rFonts w:ascii="Calibri"/>
                              <w:spacing w:val="-4"/>
                              <w:sz w:val="22"/>
                            </w:rPr>
                            <w:t> </w:t>
                          </w:r>
                          <w:r>
                            <w:rPr>
                              <w:rFonts w:ascii="Calibri"/>
                              <w:sz w:val="22"/>
                            </w:rPr>
                            <w:t>110</w:t>
                          </w:r>
                          <w:r>
                            <w:rPr>
                              <w:rFonts w:ascii="Calibri"/>
                              <w:spacing w:val="45"/>
                              <w:sz w:val="22"/>
                            </w:rPr>
                            <w:t>  </w:t>
                          </w:r>
                          <w:r>
                            <w:rPr>
                              <w:rFonts w:ascii="Calibri"/>
                              <w:sz w:val="22"/>
                            </w:rPr>
                            <w:t>Mount</w:t>
                          </w:r>
                          <w:r>
                            <w:rPr>
                              <w:rFonts w:ascii="Calibri"/>
                              <w:spacing w:val="-1"/>
                              <w:sz w:val="22"/>
                            </w:rPr>
                            <w:t> </w:t>
                          </w:r>
                          <w:r>
                            <w:rPr>
                              <w:rFonts w:ascii="Calibri"/>
                              <w:sz w:val="22"/>
                            </w:rPr>
                            <w:t>Vernon,</w:t>
                          </w:r>
                          <w:r>
                            <w:rPr>
                              <w:rFonts w:ascii="Calibri"/>
                              <w:spacing w:val="-2"/>
                              <w:sz w:val="22"/>
                            </w:rPr>
                            <w:t> </w:t>
                          </w:r>
                          <w:r>
                            <w:rPr>
                              <w:rFonts w:ascii="Calibri"/>
                              <w:sz w:val="22"/>
                            </w:rPr>
                            <w:t>WA</w:t>
                          </w:r>
                          <w:r>
                            <w:rPr>
                              <w:rFonts w:ascii="Calibri"/>
                              <w:spacing w:val="-5"/>
                              <w:sz w:val="22"/>
                            </w:rPr>
                            <w:t> </w:t>
                          </w:r>
                          <w:r>
                            <w:rPr>
                              <w:rFonts w:ascii="Calibri"/>
                              <w:spacing w:val="-4"/>
                              <w:sz w:val="22"/>
                            </w:rPr>
                            <w:t>98273</w:t>
                          </w:r>
                        </w:p>
                      </w:txbxContent>
                    </wps:txbx>
                    <wps:bodyPr wrap="square" lIns="0" tIns="0" rIns="0" bIns="0" rtlCol="0">
                      <a:noAutofit/>
                    </wps:bodyPr>
                  </wps:wsp>
                </a:graphicData>
              </a:graphic>
            </wp:anchor>
          </w:drawing>
        </mc:Choice>
        <mc:Fallback>
          <w:pict>
            <v:shape style="position:absolute;margin-left:74.863998pt;margin-top:730.400024pt;width:267.5pt;height:13.05pt;mso-position-horizontal-relative:page;mso-position-vertical-relative:page;z-index:-15782400" type="#_x0000_t202" id="docshape2" filled="false" stroked="false">
              <v:textbox inset="0,0,0,0">
                <w:txbxContent>
                  <w:p>
                    <w:pPr>
                      <w:spacing w:line="245" w:lineRule="exact" w:before="0"/>
                      <w:ind w:left="20" w:right="0" w:firstLine="0"/>
                      <w:jc w:val="left"/>
                      <w:rPr>
                        <w:rFonts w:ascii="Calibri"/>
                        <w:sz w:val="22"/>
                      </w:rPr>
                    </w:pPr>
                    <w:r>
                      <w:rPr>
                        <w:rFonts w:ascii="Calibri"/>
                        <w:sz w:val="22"/>
                      </w:rPr>
                      <w:t>301</w:t>
                    </w:r>
                    <w:r>
                      <w:rPr>
                        <w:rFonts w:ascii="Calibri"/>
                        <w:spacing w:val="-3"/>
                        <w:sz w:val="22"/>
                      </w:rPr>
                      <w:t> </w:t>
                    </w:r>
                    <w:r>
                      <w:rPr>
                        <w:rFonts w:ascii="Calibri"/>
                        <w:sz w:val="22"/>
                      </w:rPr>
                      <w:t>Valley</w:t>
                    </w:r>
                    <w:r>
                      <w:rPr>
                        <w:rFonts w:ascii="Calibri"/>
                        <w:spacing w:val="-3"/>
                        <w:sz w:val="22"/>
                      </w:rPr>
                      <w:t> </w:t>
                    </w:r>
                    <w:r>
                      <w:rPr>
                        <w:rFonts w:ascii="Calibri"/>
                        <w:sz w:val="22"/>
                      </w:rPr>
                      <w:t>Mall</w:t>
                    </w:r>
                    <w:r>
                      <w:rPr>
                        <w:rFonts w:ascii="Calibri"/>
                        <w:spacing w:val="-4"/>
                        <w:sz w:val="22"/>
                      </w:rPr>
                      <w:t> </w:t>
                    </w:r>
                    <w:r>
                      <w:rPr>
                        <w:rFonts w:ascii="Calibri"/>
                        <w:sz w:val="22"/>
                      </w:rPr>
                      <w:t>Way,</w:t>
                    </w:r>
                    <w:r>
                      <w:rPr>
                        <w:rFonts w:ascii="Calibri"/>
                        <w:spacing w:val="-1"/>
                        <w:sz w:val="22"/>
                      </w:rPr>
                      <w:t> </w:t>
                    </w:r>
                    <w:r>
                      <w:rPr>
                        <w:rFonts w:ascii="Calibri"/>
                        <w:sz w:val="22"/>
                      </w:rPr>
                      <w:t>Suite</w:t>
                    </w:r>
                    <w:r>
                      <w:rPr>
                        <w:rFonts w:ascii="Calibri"/>
                        <w:spacing w:val="-4"/>
                        <w:sz w:val="22"/>
                      </w:rPr>
                      <w:t> </w:t>
                    </w:r>
                    <w:r>
                      <w:rPr>
                        <w:rFonts w:ascii="Calibri"/>
                        <w:sz w:val="22"/>
                      </w:rPr>
                      <w:t>110</w:t>
                    </w:r>
                    <w:r>
                      <w:rPr>
                        <w:rFonts w:ascii="Calibri"/>
                        <w:spacing w:val="45"/>
                        <w:sz w:val="22"/>
                      </w:rPr>
                      <w:t>  </w:t>
                    </w:r>
                    <w:r>
                      <w:rPr>
                        <w:rFonts w:ascii="Calibri"/>
                        <w:sz w:val="22"/>
                      </w:rPr>
                      <w:t>Mount</w:t>
                    </w:r>
                    <w:r>
                      <w:rPr>
                        <w:rFonts w:ascii="Calibri"/>
                        <w:spacing w:val="-1"/>
                        <w:sz w:val="22"/>
                      </w:rPr>
                      <w:t> </w:t>
                    </w:r>
                    <w:r>
                      <w:rPr>
                        <w:rFonts w:ascii="Calibri"/>
                        <w:sz w:val="22"/>
                      </w:rPr>
                      <w:t>Vernon,</w:t>
                    </w:r>
                    <w:r>
                      <w:rPr>
                        <w:rFonts w:ascii="Calibri"/>
                        <w:spacing w:val="-2"/>
                        <w:sz w:val="22"/>
                      </w:rPr>
                      <w:t> </w:t>
                    </w:r>
                    <w:r>
                      <w:rPr>
                        <w:rFonts w:ascii="Calibri"/>
                        <w:sz w:val="22"/>
                      </w:rPr>
                      <w:t>WA</w:t>
                    </w:r>
                    <w:r>
                      <w:rPr>
                        <w:rFonts w:ascii="Calibri"/>
                        <w:spacing w:val="-5"/>
                        <w:sz w:val="22"/>
                      </w:rPr>
                      <w:t> </w:t>
                    </w:r>
                    <w:r>
                      <w:rPr>
                        <w:rFonts w:ascii="Calibri"/>
                        <w:spacing w:val="-4"/>
                        <w:sz w:val="22"/>
                      </w:rPr>
                      <w:t>98273</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34592">
              <wp:simplePos x="0" y="0"/>
              <wp:positionH relativeFrom="page">
                <wp:posOffset>4480940</wp:posOffset>
              </wp:positionH>
              <wp:positionV relativeFrom="page">
                <wp:posOffset>9276080</wp:posOffset>
              </wp:positionV>
              <wp:extent cx="2015489" cy="16573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15489" cy="165735"/>
                      </a:xfrm>
                      <a:prstGeom prst="rect">
                        <a:avLst/>
                      </a:prstGeom>
                    </wps:spPr>
                    <wps:txbx>
                      <w:txbxContent>
                        <w:p>
                          <w:pPr>
                            <w:spacing w:line="245" w:lineRule="exact" w:before="0"/>
                            <w:ind w:left="20" w:right="0" w:firstLine="0"/>
                            <w:jc w:val="left"/>
                            <w:rPr>
                              <w:rFonts w:ascii="Calibri"/>
                              <w:sz w:val="22"/>
                            </w:rPr>
                          </w:pPr>
                          <w:r>
                            <w:rPr>
                              <w:rFonts w:ascii="Calibri"/>
                              <w:sz w:val="22"/>
                            </w:rPr>
                            <w:t>(360)</w:t>
                          </w:r>
                          <w:r>
                            <w:rPr>
                              <w:rFonts w:ascii="Calibri"/>
                              <w:spacing w:val="-5"/>
                              <w:sz w:val="22"/>
                            </w:rPr>
                            <w:t> </w:t>
                          </w:r>
                          <w:r>
                            <w:rPr>
                              <w:rFonts w:ascii="Calibri"/>
                              <w:sz w:val="22"/>
                            </w:rPr>
                            <w:t>416-1500</w:t>
                          </w:r>
                          <w:r>
                            <w:rPr>
                              <w:rFonts w:ascii="Calibri"/>
                              <w:spacing w:val="-5"/>
                              <w:sz w:val="22"/>
                            </w:rPr>
                            <w:t> </w:t>
                          </w:r>
                          <w:r>
                            <w:rPr>
                              <w:rFonts w:ascii="Calibri"/>
                              <w:sz w:val="22"/>
                            </w:rPr>
                            <w:t>Fax</w:t>
                          </w:r>
                          <w:r>
                            <w:rPr>
                              <w:rFonts w:ascii="Calibri"/>
                              <w:spacing w:val="-5"/>
                              <w:sz w:val="22"/>
                            </w:rPr>
                            <w:t> </w:t>
                          </w:r>
                          <w:r>
                            <w:rPr>
                              <w:rFonts w:ascii="Calibri"/>
                              <w:sz w:val="22"/>
                            </w:rPr>
                            <w:t>(360)</w:t>
                          </w:r>
                          <w:r>
                            <w:rPr>
                              <w:rFonts w:ascii="Calibri"/>
                              <w:spacing w:val="-6"/>
                              <w:sz w:val="22"/>
                            </w:rPr>
                            <w:t> </w:t>
                          </w:r>
                          <w:r>
                            <w:rPr>
                              <w:rFonts w:ascii="Calibri"/>
                              <w:sz w:val="22"/>
                            </w:rPr>
                            <w:t>416-</w:t>
                          </w:r>
                          <w:r>
                            <w:rPr>
                              <w:rFonts w:ascii="Calibri"/>
                              <w:spacing w:val="-4"/>
                              <w:sz w:val="22"/>
                            </w:rPr>
                            <w:t>1501</w:t>
                          </w:r>
                        </w:p>
                      </w:txbxContent>
                    </wps:txbx>
                    <wps:bodyPr wrap="square" lIns="0" tIns="0" rIns="0" bIns="0" rtlCol="0">
                      <a:noAutofit/>
                    </wps:bodyPr>
                  </wps:wsp>
                </a:graphicData>
              </a:graphic>
            </wp:anchor>
          </w:drawing>
        </mc:Choice>
        <mc:Fallback>
          <w:pict>
            <v:shape style="position:absolute;margin-left:352.829987pt;margin-top:730.400024pt;width:158.7pt;height:13.05pt;mso-position-horizontal-relative:page;mso-position-vertical-relative:page;z-index:-15781888" type="#_x0000_t202" id="docshape3" filled="false" stroked="false">
              <v:textbox inset="0,0,0,0">
                <w:txbxContent>
                  <w:p>
                    <w:pPr>
                      <w:spacing w:line="245" w:lineRule="exact" w:before="0"/>
                      <w:ind w:left="20" w:right="0" w:firstLine="0"/>
                      <w:jc w:val="left"/>
                      <w:rPr>
                        <w:rFonts w:ascii="Calibri"/>
                        <w:sz w:val="22"/>
                      </w:rPr>
                    </w:pPr>
                    <w:r>
                      <w:rPr>
                        <w:rFonts w:ascii="Calibri"/>
                        <w:sz w:val="22"/>
                      </w:rPr>
                      <w:t>(360)</w:t>
                    </w:r>
                    <w:r>
                      <w:rPr>
                        <w:rFonts w:ascii="Calibri"/>
                        <w:spacing w:val="-5"/>
                        <w:sz w:val="22"/>
                      </w:rPr>
                      <w:t> </w:t>
                    </w:r>
                    <w:r>
                      <w:rPr>
                        <w:rFonts w:ascii="Calibri"/>
                        <w:sz w:val="22"/>
                      </w:rPr>
                      <w:t>416-1500</w:t>
                    </w:r>
                    <w:r>
                      <w:rPr>
                        <w:rFonts w:ascii="Calibri"/>
                        <w:spacing w:val="-5"/>
                        <w:sz w:val="22"/>
                      </w:rPr>
                      <w:t> </w:t>
                    </w:r>
                    <w:r>
                      <w:rPr>
                        <w:rFonts w:ascii="Calibri"/>
                        <w:sz w:val="22"/>
                      </w:rPr>
                      <w:t>Fax</w:t>
                    </w:r>
                    <w:r>
                      <w:rPr>
                        <w:rFonts w:ascii="Calibri"/>
                        <w:spacing w:val="-5"/>
                        <w:sz w:val="22"/>
                      </w:rPr>
                      <w:t> </w:t>
                    </w:r>
                    <w:r>
                      <w:rPr>
                        <w:rFonts w:ascii="Calibri"/>
                        <w:sz w:val="22"/>
                      </w:rPr>
                      <w:t>(360)</w:t>
                    </w:r>
                    <w:r>
                      <w:rPr>
                        <w:rFonts w:ascii="Calibri"/>
                        <w:spacing w:val="-6"/>
                        <w:sz w:val="22"/>
                      </w:rPr>
                      <w:t> </w:t>
                    </w:r>
                    <w:r>
                      <w:rPr>
                        <w:rFonts w:ascii="Calibri"/>
                        <w:sz w:val="22"/>
                      </w:rPr>
                      <w:t>416-</w:t>
                    </w:r>
                    <w:r>
                      <w:rPr>
                        <w:rFonts w:ascii="Calibri"/>
                        <w:spacing w:val="-4"/>
                        <w:sz w:val="22"/>
                      </w:rPr>
                      <w:t>1501</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792" w:hanging="360"/>
      </w:pPr>
      <w:rPr>
        <w:rFonts w:hint="default" w:ascii="Symbol" w:hAnsi="Symbol" w:eastAsia="Symbol" w:cs="Symbol"/>
        <w:b w:val="0"/>
        <w:bCs w:val="0"/>
        <w:i w:val="0"/>
        <w:iCs w:val="0"/>
        <w:spacing w:val="0"/>
        <w:w w:val="100"/>
        <w:sz w:val="24"/>
        <w:szCs w:val="24"/>
        <w:lang w:val="en-US" w:eastAsia="en-US" w:bidi="ar-SA"/>
      </w:rPr>
    </w:lvl>
    <w:lvl w:ilvl="1">
      <w:start w:val="0"/>
      <w:numFmt w:val="bullet"/>
      <w:lvlText w:val="•"/>
      <w:lvlJc w:val="left"/>
      <w:pPr>
        <w:ind w:left="1836" w:hanging="360"/>
      </w:pPr>
      <w:rPr>
        <w:rFonts w:hint="default"/>
        <w:lang w:val="en-US" w:eastAsia="en-US" w:bidi="ar-SA"/>
      </w:rPr>
    </w:lvl>
    <w:lvl w:ilvl="2">
      <w:start w:val="0"/>
      <w:numFmt w:val="bullet"/>
      <w:lvlText w:val="•"/>
      <w:lvlJc w:val="left"/>
      <w:pPr>
        <w:ind w:left="2872" w:hanging="360"/>
      </w:pPr>
      <w:rPr>
        <w:rFonts w:hint="default"/>
        <w:lang w:val="en-US" w:eastAsia="en-US" w:bidi="ar-SA"/>
      </w:rPr>
    </w:lvl>
    <w:lvl w:ilvl="3">
      <w:start w:val="0"/>
      <w:numFmt w:val="bullet"/>
      <w:lvlText w:val="•"/>
      <w:lvlJc w:val="left"/>
      <w:pPr>
        <w:ind w:left="3908" w:hanging="360"/>
      </w:pPr>
      <w:rPr>
        <w:rFonts w:hint="default"/>
        <w:lang w:val="en-US" w:eastAsia="en-US" w:bidi="ar-SA"/>
      </w:rPr>
    </w:lvl>
    <w:lvl w:ilvl="4">
      <w:start w:val="0"/>
      <w:numFmt w:val="bullet"/>
      <w:lvlText w:val="•"/>
      <w:lvlJc w:val="left"/>
      <w:pPr>
        <w:ind w:left="4944" w:hanging="360"/>
      </w:pPr>
      <w:rPr>
        <w:rFonts w:hint="default"/>
        <w:lang w:val="en-US" w:eastAsia="en-US" w:bidi="ar-SA"/>
      </w:rPr>
    </w:lvl>
    <w:lvl w:ilvl="5">
      <w:start w:val="0"/>
      <w:numFmt w:val="bullet"/>
      <w:lvlText w:val="•"/>
      <w:lvlJc w:val="left"/>
      <w:pPr>
        <w:ind w:left="5980" w:hanging="360"/>
      </w:pPr>
      <w:rPr>
        <w:rFonts w:hint="default"/>
        <w:lang w:val="en-US" w:eastAsia="en-US" w:bidi="ar-SA"/>
      </w:rPr>
    </w:lvl>
    <w:lvl w:ilvl="6">
      <w:start w:val="0"/>
      <w:numFmt w:val="bullet"/>
      <w:lvlText w:val="•"/>
      <w:lvlJc w:val="left"/>
      <w:pPr>
        <w:ind w:left="7016" w:hanging="360"/>
      </w:pPr>
      <w:rPr>
        <w:rFonts w:hint="default"/>
        <w:lang w:val="en-US" w:eastAsia="en-US" w:bidi="ar-SA"/>
      </w:rPr>
    </w:lvl>
    <w:lvl w:ilvl="7">
      <w:start w:val="0"/>
      <w:numFmt w:val="bullet"/>
      <w:lvlText w:val="•"/>
      <w:lvlJc w:val="left"/>
      <w:pPr>
        <w:ind w:left="8052" w:hanging="360"/>
      </w:pPr>
      <w:rPr>
        <w:rFonts w:hint="default"/>
        <w:lang w:val="en-US" w:eastAsia="en-US" w:bidi="ar-SA"/>
      </w:rPr>
    </w:lvl>
    <w:lvl w:ilvl="8">
      <w:start w:val="0"/>
      <w:numFmt w:val="bullet"/>
      <w:lvlText w:val="•"/>
      <w:lvlJc w:val="left"/>
      <w:pPr>
        <w:ind w:left="9088" w:hanging="36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spacing w:before="470"/>
      <w:ind w:left="5855"/>
      <w:outlineLvl w:val="1"/>
    </w:pPr>
    <w:rPr>
      <w:rFonts w:ascii="Baskerville Old Face" w:hAnsi="Baskerville Old Face" w:eastAsia="Baskerville Old Face" w:cs="Baskerville Old Face"/>
      <w:b/>
      <w:bCs/>
      <w:sz w:val="44"/>
      <w:szCs w:val="44"/>
      <w:lang w:val="en-US" w:eastAsia="en-US" w:bidi="ar-SA"/>
    </w:rPr>
  </w:style>
  <w:style w:styleId="Heading2" w:type="paragraph">
    <w:name w:val="Heading 2"/>
    <w:basedOn w:val="Normal"/>
    <w:uiPriority w:val="1"/>
    <w:qFormat/>
    <w:pPr>
      <w:spacing w:before="198"/>
      <w:ind w:left="6301" w:firstLine="1839"/>
      <w:outlineLvl w:val="2"/>
    </w:pPr>
    <w:rPr>
      <w:rFonts w:ascii="Baskerville Old Face" w:hAnsi="Baskerville Old Face" w:eastAsia="Baskerville Old Face" w:cs="Baskerville Old Face"/>
      <w:b/>
      <w:bCs/>
      <w:sz w:val="28"/>
      <w:szCs w:val="28"/>
      <w:lang w:val="en-US" w:eastAsia="en-US" w:bidi="ar-SA"/>
    </w:rPr>
  </w:style>
  <w:style w:styleId="Heading3" w:type="paragraph">
    <w:name w:val="Heading 3"/>
    <w:basedOn w:val="Normal"/>
    <w:uiPriority w:val="1"/>
    <w:qFormat/>
    <w:pPr>
      <w:spacing w:before="1"/>
      <w:ind w:right="355"/>
      <w:jc w:val="center"/>
      <w:outlineLvl w:val="3"/>
    </w:pPr>
    <w:rPr>
      <w:rFonts w:ascii="Arial" w:hAnsi="Arial" w:eastAsia="Arial" w:cs="Arial"/>
      <w:b/>
      <w:bCs/>
      <w:sz w:val="24"/>
      <w:szCs w:val="24"/>
      <w:lang w:val="en-US" w:eastAsia="en-US" w:bidi="ar-SA"/>
    </w:rPr>
  </w:style>
  <w:style w:styleId="ListParagraph" w:type="paragraph">
    <w:name w:val="List Paragraph"/>
    <w:basedOn w:val="Normal"/>
    <w:uiPriority w:val="1"/>
    <w:qFormat/>
    <w:pPr>
      <w:ind w:left="792" w:hanging="36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 Pfaff-Dunton</dc:creator>
  <dcterms:created xsi:type="dcterms:W3CDTF">2025-11-21T23:30:28Z</dcterms:created>
  <dcterms:modified xsi:type="dcterms:W3CDTF">2025-11-21T23:30:28Z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Microsoft® Word for Microsoft 365</vt:lpwstr>
  </property>
  <property fmtid="{D5CDD505-2E9C-101B-9397-08002B2CF9AE}" pid="4" name="LastSaved">
    <vt:filetime>2025-11-21T00:00:00Z</vt:filetime>
  </property>
  <property fmtid="{D5CDD505-2E9C-101B-9397-08002B2CF9AE}" pid="5" name="Producer">
    <vt:lpwstr>Microsoft® Word for Microsoft 365</vt:lpwstr>
  </property>
</Properties>
</file>